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ascii="Times New Roman" w:hAnsi="Times New Roman"/>
          <w:b/>
          <w:bCs/>
          <w:color w:val="auto"/>
          <w:highlight w:val="none"/>
        </w:rPr>
      </w:pPr>
      <w:r>
        <w:rPr>
          <w:rFonts w:ascii="Arial" w:hAnsi="Arial" w:cs="Arial"/>
          <w:b/>
          <w:bCs/>
          <w:color w:val="auto"/>
          <w:highlight w:val="none"/>
        </w:rPr>
        <w:t>3GPP TSG RAN WG1</w:t>
      </w:r>
      <w:r>
        <w:rPr>
          <w:rFonts w:hint="eastAsia" w:ascii="Arial" w:hAnsi="Arial" w:cs="Arial"/>
          <w:b/>
          <w:bCs/>
          <w:color w:val="auto"/>
          <w:highlight w:val="none"/>
        </w:rPr>
        <w:t xml:space="preserve"> Meeting #91</w:t>
      </w:r>
      <w:r>
        <w:rPr>
          <w:rFonts w:ascii="Arial" w:hAnsi="Arial" w:cs="Arial"/>
          <w:b/>
          <w:bCs/>
          <w:color w:val="auto"/>
          <w:highlight w:val="none"/>
        </w:rPr>
        <w:t xml:space="preserve">        </w:t>
      </w:r>
      <w:r>
        <w:rPr>
          <w:rFonts w:hint="eastAsia" w:ascii="Arial" w:hAnsi="Arial" w:cs="Arial"/>
          <w:b/>
          <w:bCs/>
          <w:color w:val="auto"/>
          <w:highlight w:val="none"/>
        </w:rPr>
        <w:t xml:space="preserve">                                                                   </w:t>
      </w:r>
      <w:r>
        <w:rPr>
          <w:rFonts w:ascii="Arial" w:hAnsi="Arial" w:cs="Arial"/>
          <w:b/>
          <w:bCs/>
          <w:color w:val="auto"/>
          <w:highlight w:val="none"/>
        </w:rPr>
        <w:t>R1-1</w:t>
      </w:r>
      <w:r>
        <w:rPr>
          <w:rFonts w:hint="eastAsia" w:ascii="Arial" w:hAnsi="Arial" w:cs="Arial"/>
          <w:b/>
          <w:bCs/>
          <w:color w:val="auto"/>
          <w:highlight w:val="none"/>
        </w:rPr>
        <w:t>719535</w:t>
      </w:r>
    </w:p>
    <w:p>
      <w:pPr>
        <w:pStyle w:val="15"/>
        <w:spacing w:after="240"/>
        <w:rPr>
          <w:rFonts w:eastAsia="宋体" w:cs="Arial"/>
          <w:bCs/>
          <w:color w:val="auto"/>
          <w:sz w:val="22"/>
          <w:szCs w:val="22"/>
          <w:highlight w:val="none"/>
          <w:lang w:eastAsia="zh-CN"/>
        </w:rPr>
      </w:pPr>
      <w:r>
        <w:rPr>
          <w:rFonts w:hint="eastAsia" w:eastAsia="宋体" w:cs="Arial"/>
          <w:bCs/>
          <w:color w:val="auto"/>
          <w:sz w:val="22"/>
          <w:szCs w:val="22"/>
          <w:highlight w:val="none"/>
          <w:lang w:eastAsia="zh-CN"/>
        </w:rPr>
        <w:t>Reno, USA</w:t>
      </w:r>
      <w:r>
        <w:rPr>
          <w:rFonts w:eastAsia="宋体" w:cs="Arial"/>
          <w:bCs/>
          <w:color w:val="auto"/>
          <w:sz w:val="22"/>
          <w:szCs w:val="22"/>
          <w:highlight w:val="none"/>
          <w:lang w:eastAsia="zh-CN"/>
        </w:rPr>
        <w:t xml:space="preserve">, </w:t>
      </w:r>
      <w:r>
        <w:rPr>
          <w:rFonts w:hint="eastAsia" w:eastAsia="宋体" w:cs="Arial"/>
          <w:bCs/>
          <w:color w:val="auto"/>
          <w:sz w:val="22"/>
          <w:szCs w:val="22"/>
          <w:highlight w:val="none"/>
          <w:lang w:eastAsia="zh-CN"/>
        </w:rPr>
        <w:t>27th</w:t>
      </w:r>
      <w:r>
        <w:rPr>
          <w:rFonts w:hint="eastAsia" w:eastAsia="宋体" w:cs="Arial"/>
          <w:bCs/>
          <w:color w:val="auto"/>
          <w:sz w:val="22"/>
          <w:szCs w:val="22"/>
          <w:highlight w:val="none"/>
          <w:vertAlign w:val="superscript"/>
          <w:lang w:eastAsia="zh-CN"/>
        </w:rPr>
        <w:t xml:space="preserve"> </w:t>
      </w:r>
      <w:r>
        <w:rPr>
          <w:rFonts w:hint="eastAsia" w:eastAsia="宋体" w:cs="Arial"/>
          <w:bCs/>
          <w:color w:val="auto"/>
          <w:sz w:val="22"/>
          <w:szCs w:val="22"/>
          <w:highlight w:val="none"/>
          <w:lang w:eastAsia="zh-CN"/>
        </w:rPr>
        <w:t>November--1st December,</w:t>
      </w:r>
      <w:r>
        <w:rPr>
          <w:rFonts w:eastAsia="宋体" w:cs="Arial"/>
          <w:bCs/>
          <w:color w:val="auto"/>
          <w:sz w:val="22"/>
          <w:szCs w:val="22"/>
          <w:highlight w:val="none"/>
          <w:lang w:eastAsia="zh-CN"/>
        </w:rPr>
        <w:t xml:space="preserve"> 201</w:t>
      </w:r>
      <w:r>
        <w:rPr>
          <w:rFonts w:hint="eastAsia" w:eastAsia="宋体" w:cs="Arial"/>
          <w:bCs/>
          <w:color w:val="auto"/>
          <w:sz w:val="22"/>
          <w:szCs w:val="22"/>
          <w:highlight w:val="none"/>
          <w:lang w:eastAsia="zh-CN"/>
        </w:rPr>
        <w:t>7</w:t>
      </w:r>
    </w:p>
    <w:p>
      <w:pPr>
        <w:pStyle w:val="15"/>
        <w:tabs>
          <w:tab w:val="left" w:pos="1805"/>
          <w:tab w:val="clear" w:pos="4536"/>
        </w:tabs>
        <w:ind w:left="1803" w:hanging="1803"/>
        <w:rPr>
          <w:rFonts w:eastAsia="宋体" w:cs="Arial"/>
          <w:bCs/>
          <w:color w:val="auto"/>
          <w:sz w:val="22"/>
          <w:szCs w:val="22"/>
          <w:highlight w:val="none"/>
          <w:lang w:eastAsia="zh-CN"/>
        </w:rPr>
      </w:pPr>
      <w:r>
        <w:rPr>
          <w:rFonts w:eastAsia="宋体" w:cs="Arial"/>
          <w:bCs/>
          <w:color w:val="auto"/>
          <w:sz w:val="22"/>
          <w:szCs w:val="22"/>
          <w:highlight w:val="none"/>
          <w:lang w:eastAsia="zh-CN"/>
        </w:rPr>
        <w:t xml:space="preserve">Source: </w:t>
      </w:r>
      <w:r>
        <w:rPr>
          <w:rFonts w:eastAsia="宋体" w:cs="Arial"/>
          <w:bCs/>
          <w:color w:val="auto"/>
          <w:sz w:val="22"/>
          <w:szCs w:val="22"/>
          <w:highlight w:val="none"/>
          <w:lang w:eastAsia="zh-CN"/>
        </w:rPr>
        <w:tab/>
      </w:r>
      <w:r>
        <w:rPr>
          <w:rFonts w:eastAsia="宋体" w:cs="Arial"/>
          <w:bCs/>
          <w:color w:val="auto"/>
          <w:sz w:val="22"/>
          <w:szCs w:val="22"/>
          <w:highlight w:val="none"/>
          <w:lang w:eastAsia="zh-CN"/>
        </w:rPr>
        <w:t>ZTE</w:t>
      </w:r>
      <w:r>
        <w:rPr>
          <w:rFonts w:hint="eastAsia" w:eastAsia="宋体" w:cs="Arial"/>
          <w:bCs/>
          <w:color w:val="auto"/>
          <w:sz w:val="22"/>
          <w:szCs w:val="22"/>
          <w:highlight w:val="none"/>
          <w:lang w:eastAsia="zh-CN"/>
        </w:rPr>
        <w:t>, Sanechips</w:t>
      </w:r>
    </w:p>
    <w:p>
      <w:pPr>
        <w:pStyle w:val="15"/>
        <w:tabs>
          <w:tab w:val="left" w:pos="1800"/>
        </w:tabs>
        <w:ind w:left="1840" w:hanging="1840" w:hangingChars="833"/>
        <w:rPr>
          <w:rFonts w:eastAsia="宋体" w:cs="Arial"/>
          <w:bCs/>
          <w:color w:val="auto"/>
          <w:sz w:val="22"/>
          <w:szCs w:val="22"/>
          <w:highlight w:val="none"/>
          <w:lang w:eastAsia="zh-CN"/>
        </w:rPr>
      </w:pPr>
      <w:r>
        <w:rPr>
          <w:rFonts w:eastAsia="宋体" w:cs="Arial"/>
          <w:bCs/>
          <w:color w:val="auto"/>
          <w:sz w:val="22"/>
          <w:szCs w:val="22"/>
          <w:highlight w:val="none"/>
          <w:lang w:eastAsia="zh-CN"/>
        </w:rPr>
        <w:t>Title:</w:t>
      </w:r>
      <w:r>
        <w:rPr>
          <w:rFonts w:eastAsia="宋体" w:cs="Arial"/>
          <w:bCs/>
          <w:color w:val="auto"/>
          <w:sz w:val="22"/>
          <w:szCs w:val="22"/>
          <w:highlight w:val="none"/>
          <w:lang w:eastAsia="zh-CN"/>
        </w:rPr>
        <w:tab/>
      </w:r>
      <w:r>
        <w:rPr>
          <w:rFonts w:hint="eastAsia" w:eastAsia="宋体" w:cs="Arial"/>
          <w:bCs/>
          <w:color w:val="auto"/>
          <w:sz w:val="22"/>
          <w:szCs w:val="22"/>
          <w:highlight w:val="none"/>
          <w:lang w:eastAsia="zh-CN"/>
        </w:rPr>
        <w:t xml:space="preserve">On CQI </w:t>
      </w:r>
      <w:r>
        <w:rPr>
          <w:rFonts w:eastAsia="宋体" w:cs="Arial"/>
          <w:bCs/>
          <w:color w:val="auto"/>
          <w:sz w:val="22"/>
          <w:szCs w:val="22"/>
          <w:highlight w:val="none"/>
          <w:lang w:eastAsia="zh-CN"/>
        </w:rPr>
        <w:t>and MCS</w:t>
      </w:r>
      <w:r>
        <w:rPr>
          <w:rFonts w:hint="eastAsia" w:eastAsia="宋体" w:cs="Arial"/>
          <w:bCs/>
          <w:color w:val="auto"/>
          <w:sz w:val="22"/>
          <w:szCs w:val="22"/>
          <w:highlight w:val="none"/>
          <w:lang w:eastAsia="zh-CN"/>
        </w:rPr>
        <w:t xml:space="preserve"> Table</w:t>
      </w:r>
    </w:p>
    <w:p>
      <w:pPr>
        <w:pStyle w:val="15"/>
        <w:tabs>
          <w:tab w:val="left" w:pos="1800"/>
        </w:tabs>
        <w:rPr>
          <w:rFonts w:eastAsia="宋体" w:cs="Arial"/>
          <w:bCs/>
          <w:color w:val="auto"/>
          <w:sz w:val="22"/>
          <w:szCs w:val="22"/>
          <w:highlight w:val="none"/>
          <w:lang w:eastAsia="zh-CN"/>
        </w:rPr>
      </w:pPr>
      <w:r>
        <w:rPr>
          <w:rFonts w:eastAsia="宋体" w:cs="Arial"/>
          <w:bCs/>
          <w:color w:val="auto"/>
          <w:sz w:val="22"/>
          <w:szCs w:val="22"/>
          <w:highlight w:val="none"/>
          <w:lang w:eastAsia="zh-CN"/>
        </w:rPr>
        <w:t>Agenda Item:</w:t>
      </w:r>
      <w:bookmarkStart w:id="0" w:name="Source"/>
      <w:bookmarkEnd w:id="0"/>
      <w:r>
        <w:rPr>
          <w:rFonts w:eastAsia="宋体" w:cs="Arial"/>
          <w:bCs/>
          <w:color w:val="auto"/>
          <w:sz w:val="22"/>
          <w:szCs w:val="22"/>
          <w:highlight w:val="none"/>
          <w:lang w:eastAsia="zh-CN"/>
        </w:rPr>
        <w:tab/>
      </w:r>
      <w:r>
        <w:rPr>
          <w:rFonts w:hint="eastAsia" w:eastAsia="宋体" w:cs="Arial"/>
          <w:bCs/>
          <w:color w:val="auto"/>
          <w:sz w:val="22"/>
          <w:szCs w:val="22"/>
          <w:highlight w:val="none"/>
          <w:lang w:eastAsia="zh-CN"/>
        </w:rPr>
        <w:t>7.2.2.5</w:t>
      </w:r>
    </w:p>
    <w:p>
      <w:pPr>
        <w:pBdr>
          <w:bottom w:val="single" w:color="auto" w:sz="6" w:space="1"/>
        </w:pBdr>
        <w:spacing w:after="240" w:line="271" w:lineRule="auto"/>
        <w:ind w:left="1800" w:hanging="1800"/>
        <w:rPr>
          <w:rFonts w:ascii="Arial" w:hAnsi="Arial"/>
          <w:b/>
          <w:color w:val="auto"/>
          <w:highlight w:val="none"/>
        </w:rPr>
      </w:pPr>
      <w:r>
        <w:rPr>
          <w:rFonts w:ascii="Arial" w:hAnsi="Arial"/>
          <w:b/>
          <w:color w:val="auto"/>
          <w:highlight w:val="none"/>
        </w:rPr>
        <w:t>Document for:</w:t>
      </w:r>
      <w:r>
        <w:rPr>
          <w:rFonts w:ascii="Arial" w:hAnsi="Arial"/>
          <w:b/>
          <w:color w:val="auto"/>
          <w:highlight w:val="none"/>
          <w:lang w:eastAsia="ja-JP"/>
        </w:rPr>
        <w:tab/>
      </w:r>
      <w:r>
        <w:rPr>
          <w:rFonts w:ascii="Arial" w:hAnsi="Arial"/>
          <w:b/>
          <w:color w:val="auto"/>
          <w:highlight w:val="none"/>
          <w:lang w:eastAsia="ja-JP"/>
        </w:rPr>
        <w:t>Discussion and Decision</w:t>
      </w:r>
    </w:p>
    <w:p>
      <w:pPr>
        <w:numPr>
          <w:ilvl w:val="0"/>
          <w:numId w:val="10"/>
        </w:numPr>
        <w:spacing w:before="120" w:after="0" w:line="240" w:lineRule="auto"/>
        <w:ind w:left="357" w:hanging="357"/>
        <w:jc w:val="both"/>
        <w:outlineLvl w:val="0"/>
        <w:rPr>
          <w:rFonts w:ascii="Times New Roman" w:hAnsi="Times New Roman"/>
          <w:b/>
          <w:color w:val="auto"/>
          <w:sz w:val="24"/>
          <w:szCs w:val="24"/>
          <w:highlight w:val="none"/>
        </w:rPr>
      </w:pPr>
      <w:r>
        <w:rPr>
          <w:rFonts w:ascii="Times New Roman" w:hAnsi="Times New Roman"/>
          <w:b/>
          <w:color w:val="auto"/>
          <w:sz w:val="24"/>
          <w:szCs w:val="24"/>
          <w:highlight w:val="none"/>
        </w:rPr>
        <w:t>Introduction</w:t>
      </w:r>
    </w:p>
    <w:p>
      <w:pPr>
        <w:adjustRightInd w:val="0"/>
        <w:snapToGrid w:val="0"/>
        <w:spacing w:after="0" w:line="240" w:lineRule="auto"/>
        <w:jc w:val="both"/>
        <w:rPr>
          <w:rFonts w:ascii="Times New Roman" w:hAnsi="Times New Roman"/>
          <w:color w:val="auto"/>
          <w:sz w:val="20"/>
          <w:szCs w:val="20"/>
          <w:highlight w:val="none"/>
        </w:rPr>
      </w:pPr>
      <w:r>
        <w:rPr>
          <w:rFonts w:ascii="Times New Roman" w:hAnsi="Times New Roman"/>
          <w:color w:val="auto"/>
          <w:sz w:val="20"/>
          <w:szCs w:val="20"/>
          <w:highlight w:val="none"/>
        </w:rPr>
        <w:t>In RAN1#90bis, the following agreements</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on NR  CQI  and  MCS were achieved.</w:t>
      </w:r>
    </w:p>
    <w:p>
      <w:pPr>
        <w:adjustRightInd w:val="0"/>
        <w:snapToGrid w:val="0"/>
        <w:spacing w:before="120" w:after="0" w:line="240" w:lineRule="auto"/>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6"/>
        <w:numPr>
          <w:ilvl w:val="0"/>
          <w:numId w:val="0"/>
        </w:numPr>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 xml:space="preserve">Two separate CQI tables are supported for eMBB </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One for maximum modulation order is 256-QAM</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One for maximum modulation order is 64-QAM</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The target BLER for CQI tables is 10%</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 xml:space="preserve">Note: RRC signalling is used by gNB to select one of the above two tables </w:t>
      </w:r>
    </w:p>
    <w:p>
      <w:pPr>
        <w:adjustRightInd w:val="0"/>
        <w:snapToGrid w:val="0"/>
        <w:spacing w:after="0" w:line="240" w:lineRule="auto"/>
        <w:jc w:val="both"/>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N separate CQI table(s) are supported for URLLC</w:t>
      </w:r>
    </w:p>
    <w:p>
      <w:pPr>
        <w:pStyle w:val="87"/>
        <w:adjustRightInd w:val="0"/>
        <w:snapToGrid w:val="0"/>
        <w:spacing w:after="0" w:line="240" w:lineRule="auto"/>
        <w:rPr>
          <w:rFonts w:ascii="Times New Roman" w:hAnsi="Times New Roman"/>
          <w:i/>
          <w:iCs/>
          <w:color w:val="auto"/>
          <w:sz w:val="20"/>
          <w:highlight w:val="none"/>
        </w:rPr>
      </w:pPr>
      <w:r>
        <w:rPr>
          <w:rFonts w:ascii="Times New Roman" w:hAnsi="Times New Roman"/>
          <w:i/>
          <w:iCs/>
          <w:color w:val="auto"/>
          <w:sz w:val="20"/>
          <w:highlight w:val="none"/>
        </w:rPr>
        <w:t>Downselect the value of N between 1 or 2</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Two target BLER are supported for URLLC</w:t>
      </w:r>
    </w:p>
    <w:p>
      <w:pPr>
        <w:pStyle w:val="87"/>
        <w:adjustRightInd w:val="0"/>
        <w:snapToGrid w:val="0"/>
        <w:spacing w:after="0" w:line="240" w:lineRule="auto"/>
        <w:rPr>
          <w:rFonts w:ascii="Times New Roman" w:hAnsi="Times New Roman"/>
          <w:i/>
          <w:iCs/>
          <w:color w:val="auto"/>
          <w:sz w:val="20"/>
          <w:highlight w:val="none"/>
        </w:rPr>
      </w:pPr>
      <w:r>
        <w:rPr>
          <w:rFonts w:ascii="Times New Roman" w:hAnsi="Times New Roman"/>
          <w:i/>
          <w:iCs/>
          <w:color w:val="auto"/>
          <w:sz w:val="20"/>
          <w:highlight w:val="none"/>
        </w:rPr>
        <w:t>Note: RRC signalling is used by gNB to select one of the two target BLER</w:t>
      </w:r>
    </w:p>
    <w:p>
      <w:pPr>
        <w:pStyle w:val="87"/>
        <w:adjustRightInd w:val="0"/>
        <w:snapToGrid w:val="0"/>
        <w:spacing w:after="0" w:line="240" w:lineRule="auto"/>
        <w:rPr>
          <w:rFonts w:ascii="Times New Roman" w:hAnsi="Times New Roman"/>
          <w:i/>
          <w:iCs/>
          <w:color w:val="auto"/>
          <w:sz w:val="20"/>
          <w:highlight w:val="none"/>
        </w:rPr>
      </w:pPr>
      <w:r>
        <w:rPr>
          <w:rFonts w:ascii="Times New Roman" w:hAnsi="Times New Roman"/>
          <w:i/>
          <w:iCs/>
          <w:color w:val="auto"/>
          <w:sz w:val="20"/>
          <w:highlight w:val="none"/>
        </w:rPr>
        <w:t xml:space="preserve">Note: The configuration of target BLER or CQI table is part of CSI report setting </w:t>
      </w:r>
    </w:p>
    <w:p>
      <w:pPr>
        <w:adjustRightInd w:val="0"/>
        <w:snapToGrid w:val="0"/>
        <w:spacing w:after="0" w:line="240" w:lineRule="auto"/>
        <w:jc w:val="both"/>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6"/>
        <w:adjustRightInd w:val="0"/>
        <w:snapToGrid w:val="0"/>
        <w:spacing w:after="0" w:line="240" w:lineRule="auto"/>
        <w:rPr>
          <w:rFonts w:ascii="Times New Roman" w:hAnsi="Times New Roman"/>
          <w:i/>
          <w:iCs/>
          <w:color w:val="auto"/>
          <w:sz w:val="20"/>
          <w:szCs w:val="20"/>
          <w:highlight w:val="none"/>
        </w:rPr>
      </w:pPr>
      <w:bookmarkStart w:id="1" w:name="OLE_LINK8"/>
      <w:r>
        <w:rPr>
          <w:rFonts w:ascii="Times New Roman" w:hAnsi="Times New Roman"/>
          <w:i/>
          <w:iCs/>
          <w:color w:val="auto"/>
          <w:sz w:val="20"/>
          <w:szCs w:val="20"/>
          <w:highlight w:val="none"/>
        </w:rPr>
        <w:t>For CQI table of maximum modulation order of 64QAM, the CQI table from LTE Rel-8 is reused</w:t>
      </w:r>
      <w:bookmarkEnd w:id="1"/>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 xml:space="preserve">For CQI table </w:t>
      </w:r>
      <w:bookmarkStart w:id="2" w:name="OLE_LINK1"/>
      <w:r>
        <w:rPr>
          <w:rFonts w:ascii="Times New Roman" w:hAnsi="Times New Roman"/>
          <w:i/>
          <w:iCs/>
          <w:color w:val="auto"/>
          <w:sz w:val="20"/>
          <w:szCs w:val="20"/>
          <w:highlight w:val="none"/>
        </w:rPr>
        <w:t>of maximum modulation order of 256QAM</w:t>
      </w:r>
      <w:bookmarkEnd w:id="2"/>
      <w:r>
        <w:rPr>
          <w:rFonts w:ascii="Times New Roman" w:hAnsi="Times New Roman"/>
          <w:i/>
          <w:iCs/>
          <w:color w:val="auto"/>
          <w:sz w:val="20"/>
          <w:szCs w:val="20"/>
          <w:highlight w:val="none"/>
        </w:rPr>
        <w:t>, a CQI field size of 4 bits is supported</w:t>
      </w:r>
    </w:p>
    <w:p>
      <w:pPr>
        <w:pStyle w:val="87"/>
        <w:adjustRightInd w:val="0"/>
        <w:snapToGrid w:val="0"/>
        <w:spacing w:after="0" w:line="240" w:lineRule="auto"/>
        <w:rPr>
          <w:rFonts w:ascii="Times New Roman" w:hAnsi="Times New Roman"/>
          <w:i/>
          <w:iCs/>
          <w:color w:val="auto"/>
          <w:sz w:val="20"/>
          <w:highlight w:val="none"/>
        </w:rPr>
      </w:pPr>
      <w:r>
        <w:rPr>
          <w:rFonts w:ascii="Times New Roman" w:hAnsi="Times New Roman"/>
          <w:i/>
          <w:iCs/>
          <w:color w:val="auto"/>
          <w:sz w:val="20"/>
          <w:highlight w:val="none"/>
        </w:rPr>
        <w:t>FFS on the details of the CQI table</w:t>
      </w:r>
    </w:p>
    <w:p>
      <w:pPr>
        <w:adjustRightInd w:val="0"/>
        <w:snapToGrid w:val="0"/>
        <w:spacing w:after="0" w:line="240" w:lineRule="auto"/>
        <w:rPr>
          <w:rFonts w:ascii="Times New Roman" w:hAnsi="Times New Roman"/>
          <w:b/>
          <w:bCs/>
          <w:i/>
          <w:iCs/>
          <w:color w:val="auto"/>
          <w:spacing w:val="5"/>
          <w:sz w:val="20"/>
          <w:szCs w:val="20"/>
          <w:highlight w:val="none"/>
        </w:rPr>
      </w:pPr>
      <w:r>
        <w:rPr>
          <w:rFonts w:ascii="Times New Roman" w:hAnsi="Times New Roman"/>
          <w:b/>
          <w:bCs/>
          <w:i/>
          <w:iCs/>
          <w:color w:val="auto"/>
          <w:spacing w:val="5"/>
          <w:sz w:val="20"/>
          <w:szCs w:val="20"/>
          <w:highlight w:val="none"/>
        </w:rPr>
        <w:t>Agreement:</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Two independent CQI fields are supported for WB CQI when two CWs is applied</w:t>
      </w:r>
    </w:p>
    <w:p>
      <w:pPr>
        <w:pStyle w:val="87"/>
        <w:adjustRightInd w:val="0"/>
        <w:snapToGrid w:val="0"/>
        <w:spacing w:after="0" w:line="240" w:lineRule="auto"/>
        <w:rPr>
          <w:rFonts w:ascii="Times New Roman" w:hAnsi="Times New Roman"/>
          <w:i/>
          <w:iCs/>
          <w:color w:val="auto"/>
          <w:sz w:val="20"/>
          <w:highlight w:val="none"/>
        </w:rPr>
      </w:pPr>
      <w:r>
        <w:rPr>
          <w:rFonts w:ascii="Times New Roman" w:hAnsi="Times New Roman"/>
          <w:i/>
          <w:iCs/>
          <w:color w:val="auto"/>
          <w:sz w:val="20"/>
          <w:highlight w:val="none"/>
        </w:rPr>
        <w:t>Note: Differential WB CQI is not used for the two CWs</w:t>
      </w:r>
    </w:p>
    <w:p>
      <w:pPr>
        <w:adjustRightInd w:val="0"/>
        <w:snapToGrid w:val="0"/>
        <w:spacing w:after="0" w:line="240" w:lineRule="auto"/>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8"/>
        <w:adjustRightInd w:val="0"/>
        <w:snapToGrid w:val="0"/>
        <w:rPr>
          <w:i/>
          <w:iCs/>
          <w:color w:val="auto"/>
          <w:sz w:val="20"/>
          <w:highlight w:val="none"/>
        </w:rPr>
      </w:pPr>
      <w:r>
        <w:rPr>
          <w:i/>
          <w:iCs/>
          <w:color w:val="auto"/>
          <w:sz w:val="20"/>
          <w:highlight w:val="none"/>
        </w:rPr>
        <w:t>For NR PDSCH MCS table, support two separate 5 bit tables for 64QAM and 256QAM and RAN1 will strive to reuse as many entries as possible</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The 64QAM MCS table should be default unless the UE is configured to use 256QAM MCS table</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RRC signalling is used to choose between the two MCS tables</w:t>
      </w:r>
    </w:p>
    <w:p>
      <w:pPr>
        <w:adjustRightInd w:val="0"/>
        <w:snapToGrid w:val="0"/>
        <w:spacing w:after="0" w:line="240" w:lineRule="auto"/>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8"/>
        <w:adjustRightInd w:val="0"/>
        <w:snapToGrid w:val="0"/>
        <w:rPr>
          <w:i/>
          <w:iCs/>
          <w:color w:val="auto"/>
          <w:sz w:val="20"/>
          <w:highlight w:val="none"/>
        </w:rPr>
      </w:pPr>
      <w:r>
        <w:rPr>
          <w:i/>
          <w:iCs/>
          <w:color w:val="auto"/>
          <w:sz w:val="20"/>
          <w:highlight w:val="none"/>
        </w:rPr>
        <w:t>For NR PUSCH MCS table (in case of CP-OFDM), support two separate 5 bit tables for 64QAM and 256QAM and RAN1 will strive to reuse as many entries as possible</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The 64QAM MCS table should be default unless the UE is configured to use 256QAM MCS table</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RRC signalling is used to choose between the two MCS tables</w:t>
      </w:r>
    </w:p>
    <w:p>
      <w:pPr>
        <w:adjustRightInd w:val="0"/>
        <w:snapToGrid w:val="0"/>
        <w:spacing w:after="0" w:line="240" w:lineRule="auto"/>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8"/>
        <w:adjustRightInd w:val="0"/>
        <w:snapToGrid w:val="0"/>
        <w:rPr>
          <w:i/>
          <w:iCs/>
          <w:color w:val="auto"/>
          <w:sz w:val="20"/>
          <w:highlight w:val="none"/>
        </w:rPr>
      </w:pPr>
      <w:r>
        <w:rPr>
          <w:i/>
          <w:iCs/>
          <w:color w:val="auto"/>
          <w:sz w:val="20"/>
          <w:highlight w:val="none"/>
        </w:rPr>
        <w:t xml:space="preserve">For NR PUSCH MCS table (in case of </w:t>
      </w:r>
      <w:r>
        <w:rPr>
          <w:rFonts w:hint="eastAsia" w:eastAsia="宋体"/>
          <w:i/>
          <w:iCs/>
          <w:color w:val="auto"/>
          <w:sz w:val="20"/>
          <w:highlight w:val="none"/>
        </w:rPr>
        <w:t>DFT-s-OFDM</w:t>
      </w:r>
      <w:r>
        <w:rPr>
          <w:i/>
          <w:iCs/>
          <w:color w:val="auto"/>
          <w:sz w:val="20"/>
          <w:highlight w:val="none"/>
        </w:rPr>
        <w:t>), support two separate 5 bit tables for 64QAM and 256QAM and RAN1 will strive to reuse as many entries as possible</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The MCS table will include entries for PI/2 BPSK</w:t>
      </w:r>
    </w:p>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The 64QAM MCS table should be default unless the UE is configured to use 256QAM MCS table</w:t>
      </w:r>
    </w:p>
    <w:p>
      <w:pPr>
        <w:pStyle w:val="86"/>
        <w:adjustRightInd w:val="0"/>
        <w:snapToGrid w:val="0"/>
        <w:spacing w:after="0" w:line="240" w:lineRule="auto"/>
        <w:rPr>
          <w:rFonts w:ascii="Times New Roman" w:hAnsi="Times New Roman"/>
          <w:i/>
          <w:iCs/>
          <w:color w:val="auto"/>
          <w:sz w:val="20"/>
          <w:szCs w:val="20"/>
          <w:highlight w:val="none"/>
        </w:rPr>
      </w:pPr>
      <w:bookmarkStart w:id="3" w:name="_Hlk495617136"/>
      <w:r>
        <w:rPr>
          <w:rFonts w:ascii="Times New Roman" w:hAnsi="Times New Roman"/>
          <w:i/>
          <w:iCs/>
          <w:color w:val="auto"/>
          <w:sz w:val="20"/>
          <w:szCs w:val="20"/>
          <w:highlight w:val="none"/>
        </w:rPr>
        <w:t>RRC signalling is used to choose between the two MCS tables</w:t>
      </w:r>
    </w:p>
    <w:bookmarkEnd w:id="3"/>
    <w:p>
      <w:pPr>
        <w:pStyle w:val="86"/>
        <w:adjustRightInd w:val="0"/>
        <w:snapToGrid w:val="0"/>
        <w:spacing w:after="0" w:line="240" w:lineRule="auto"/>
        <w:rPr>
          <w:rFonts w:ascii="Times New Roman" w:hAnsi="Times New Roman"/>
          <w:i/>
          <w:iCs/>
          <w:color w:val="auto"/>
          <w:sz w:val="20"/>
          <w:szCs w:val="20"/>
          <w:highlight w:val="none"/>
        </w:rPr>
      </w:pPr>
      <w:r>
        <w:rPr>
          <w:rFonts w:ascii="Times New Roman" w:hAnsi="Times New Roman"/>
          <w:i/>
          <w:iCs/>
          <w:color w:val="auto"/>
          <w:sz w:val="20"/>
          <w:szCs w:val="20"/>
          <w:highlight w:val="none"/>
        </w:rPr>
        <w:t>Note: In the case a UE supports only up to 16QAM, the default table should be used</w:t>
      </w:r>
    </w:p>
    <w:p>
      <w:pPr>
        <w:adjustRightInd w:val="0"/>
        <w:snapToGrid w:val="0"/>
        <w:spacing w:after="0" w:line="240" w:lineRule="auto"/>
        <w:rPr>
          <w:rFonts w:ascii="Times New Roman" w:hAnsi="Times New Roman"/>
          <w:b/>
          <w:i/>
          <w:iCs/>
          <w:color w:val="auto"/>
          <w:sz w:val="20"/>
          <w:szCs w:val="20"/>
          <w:highlight w:val="none"/>
        </w:rPr>
      </w:pPr>
      <w:r>
        <w:rPr>
          <w:rFonts w:ascii="Times New Roman" w:hAnsi="Times New Roman"/>
          <w:b/>
          <w:i/>
          <w:iCs/>
          <w:color w:val="auto"/>
          <w:sz w:val="20"/>
          <w:szCs w:val="20"/>
          <w:highlight w:val="none"/>
        </w:rPr>
        <w:t>Agreement</w:t>
      </w:r>
    </w:p>
    <w:p>
      <w:pPr>
        <w:pStyle w:val="88"/>
        <w:adjustRightInd w:val="0"/>
        <w:snapToGrid w:val="0"/>
        <w:rPr>
          <w:i/>
          <w:iCs/>
          <w:color w:val="auto"/>
          <w:sz w:val="20"/>
          <w:highlight w:val="none"/>
        </w:rPr>
      </w:pPr>
      <w:r>
        <w:rPr>
          <w:i/>
          <w:iCs/>
          <w:color w:val="auto"/>
          <w:sz w:val="20"/>
          <w:highlight w:val="none"/>
        </w:rPr>
        <w:t xml:space="preserve">The following fields are used in defining the MCS table: </w:t>
      </w:r>
    </w:p>
    <w:p>
      <w:pPr>
        <w:pStyle w:val="86"/>
        <w:adjustRightInd w:val="0"/>
        <w:snapToGrid w:val="0"/>
        <w:spacing w:line="240" w:lineRule="auto"/>
        <w:rPr>
          <w:rFonts w:ascii="Times New Roman" w:hAnsi="Times New Roman"/>
          <w:color w:val="auto"/>
          <w:sz w:val="20"/>
          <w:szCs w:val="20"/>
          <w:highlight w:val="none"/>
        </w:rPr>
      </w:pPr>
      <w:r>
        <w:rPr>
          <w:rFonts w:ascii="Times New Roman" w:hAnsi="Times New Roman"/>
          <w:i/>
          <w:iCs/>
          <w:color w:val="auto"/>
          <w:sz w:val="20"/>
          <w:szCs w:val="20"/>
          <w:highlight w:val="none"/>
        </w:rPr>
        <w:t>MCS index and a corresponding modulation order and target code rate x [1024]</w:t>
      </w:r>
    </w:p>
    <w:p>
      <w:pPr>
        <w:adjustRightInd w:val="0"/>
        <w:snapToGrid w:val="0"/>
        <w:spacing w:before="120" w:line="240" w:lineRule="auto"/>
        <w:jc w:val="both"/>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In this contribution, we discuss the above detailed design aspects on NR CQI and MCS table. And we give these  designed  NR CQI and MCS tables in detail for eMBB. We also copy the CQI/MCS tables from LTE Spec. 36213-e40 into Appendix 2 for reference.</w:t>
      </w:r>
    </w:p>
    <w:p>
      <w:pPr>
        <w:numPr>
          <w:ilvl w:val="0"/>
          <w:numId w:val="10"/>
        </w:numPr>
        <w:spacing w:before="120" w:after="0" w:line="240" w:lineRule="auto"/>
        <w:ind w:left="357" w:hanging="357"/>
        <w:jc w:val="both"/>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Discussion on NR URLLC CQI/MCS table</w:t>
      </w:r>
    </w:p>
    <w:p>
      <w:pPr>
        <w:adjustRightInd w:val="0"/>
        <w:snapToGrid w:val="0"/>
        <w:spacing w:before="120" w:line="240" w:lineRule="auto"/>
        <w:jc w:val="both"/>
        <w:rPr>
          <w:rFonts w:ascii="Times New Roman" w:hAnsi="宋体"/>
          <w:i/>
          <w:iCs/>
          <w:color w:val="auto"/>
          <w:sz w:val="20"/>
          <w:szCs w:val="20"/>
          <w:highlight w:val="none"/>
        </w:rPr>
      </w:pPr>
      <w:r>
        <w:rPr>
          <w:rFonts w:ascii="Times New Roman" w:hAnsi="宋体"/>
          <w:color w:val="auto"/>
          <w:sz w:val="20"/>
          <w:szCs w:val="20"/>
          <w:highlight w:val="none"/>
        </w:rPr>
        <w:t xml:space="preserve">For URLLC, </w:t>
      </w:r>
      <w:r>
        <w:rPr>
          <w:rFonts w:hint="eastAsia" w:ascii="Times New Roman" w:hAnsi="宋体"/>
          <w:color w:val="auto"/>
          <w:sz w:val="20"/>
          <w:szCs w:val="20"/>
          <w:highlight w:val="none"/>
        </w:rPr>
        <w:t xml:space="preserve">according to Figure </w:t>
      </w:r>
      <w:r>
        <w:rPr>
          <w:rFonts w:hint="eastAsia" w:ascii="Times New Roman" w:hAnsi="宋体"/>
          <w:color w:val="auto"/>
          <w:sz w:val="20"/>
          <w:szCs w:val="20"/>
          <w:highlight w:val="none"/>
          <w:lang w:val="en-US" w:eastAsia="zh-CN"/>
        </w:rPr>
        <w:t>1</w:t>
      </w:r>
      <w:r>
        <w:rPr>
          <w:rFonts w:hint="eastAsia" w:ascii="Times New Roman" w:hAnsi="宋体"/>
          <w:color w:val="auto"/>
          <w:sz w:val="20"/>
          <w:szCs w:val="20"/>
          <w:highlight w:val="none"/>
        </w:rPr>
        <w:t xml:space="preserve"> and Figure </w:t>
      </w:r>
      <w:r>
        <w:rPr>
          <w:rFonts w:hint="eastAsia" w:ascii="Times New Roman" w:hAnsi="宋体"/>
          <w:color w:val="auto"/>
          <w:sz w:val="20"/>
          <w:szCs w:val="20"/>
          <w:highlight w:val="none"/>
          <w:lang w:val="en-US" w:eastAsia="zh-CN"/>
        </w:rPr>
        <w:t>2</w:t>
      </w:r>
      <w:r>
        <w:rPr>
          <w:rFonts w:hint="eastAsia" w:ascii="Times New Roman" w:hAnsi="宋体"/>
          <w:color w:val="auto"/>
          <w:sz w:val="20"/>
          <w:szCs w:val="20"/>
          <w:highlight w:val="none"/>
        </w:rPr>
        <w:t xml:space="preserve"> based on the </w:t>
      </w:r>
      <w:r>
        <w:rPr>
          <w:rFonts w:ascii="Times New Roman" w:hAnsi="宋体"/>
          <w:color w:val="auto"/>
          <w:sz w:val="20"/>
          <w:szCs w:val="20"/>
          <w:highlight w:val="none"/>
        </w:rPr>
        <w:t>simulation</w:t>
      </w:r>
      <w:r>
        <w:rPr>
          <w:rFonts w:hint="eastAsia" w:ascii="Times New Roman" w:hAnsi="宋体"/>
          <w:color w:val="auto"/>
          <w:sz w:val="20"/>
          <w:szCs w:val="20"/>
          <w:highlight w:val="none"/>
        </w:rPr>
        <w:t xml:space="preserve"> assumption in Table </w:t>
      </w:r>
      <w:r>
        <w:rPr>
          <w:rFonts w:hint="eastAsia" w:ascii="Times New Roman" w:hAnsi="宋体"/>
          <w:color w:val="auto"/>
          <w:sz w:val="20"/>
          <w:szCs w:val="20"/>
          <w:highlight w:val="none"/>
          <w:lang w:val="en-US" w:eastAsia="zh-CN"/>
        </w:rPr>
        <w:t>1</w:t>
      </w:r>
      <w:r>
        <w:rPr>
          <w:rFonts w:hint="eastAsia" w:ascii="Times New Roman" w:hAnsi="宋体"/>
          <w:color w:val="auto"/>
          <w:sz w:val="20"/>
          <w:szCs w:val="20"/>
          <w:highlight w:val="none"/>
        </w:rPr>
        <w:t xml:space="preserve">, Polar codes </w:t>
      </w:r>
      <w:r>
        <w:rPr>
          <w:rFonts w:ascii="Times New Roman" w:hAnsi="宋体"/>
          <w:color w:val="auto"/>
          <w:sz w:val="20"/>
          <w:szCs w:val="20"/>
          <w:highlight w:val="none"/>
        </w:rPr>
        <w:t>outperform</w:t>
      </w:r>
      <w:r>
        <w:rPr>
          <w:rFonts w:hint="eastAsia" w:ascii="Times New Roman" w:hAnsi="宋体"/>
          <w:color w:val="auto"/>
          <w:sz w:val="20"/>
          <w:szCs w:val="20"/>
          <w:highlight w:val="none"/>
        </w:rPr>
        <w:t xml:space="preserve"> LDPC codes with around 1dB SNR at BLER=10^-5 when information block size equals to 40, but LDPC codes </w:t>
      </w:r>
      <w:r>
        <w:rPr>
          <w:rFonts w:ascii="Times New Roman" w:hAnsi="宋体"/>
          <w:color w:val="auto"/>
          <w:sz w:val="20"/>
          <w:szCs w:val="20"/>
          <w:highlight w:val="none"/>
        </w:rPr>
        <w:t>outperform</w:t>
      </w:r>
      <w:r>
        <w:rPr>
          <w:rFonts w:hint="eastAsia" w:ascii="Times New Roman" w:hAnsi="宋体"/>
          <w:color w:val="auto"/>
          <w:sz w:val="20"/>
          <w:szCs w:val="20"/>
          <w:highlight w:val="none"/>
        </w:rPr>
        <w:t xml:space="preserve"> Polar codes with around 1dB SNR at BLER=10^-5 when information block size equals to 1600, therefore both Polar codes and LDPC codes have their own </w:t>
      </w:r>
      <w:r>
        <w:rPr>
          <w:rFonts w:ascii="Times New Roman" w:hAnsi="宋体"/>
          <w:color w:val="auto"/>
          <w:sz w:val="20"/>
          <w:szCs w:val="20"/>
          <w:highlight w:val="none"/>
        </w:rPr>
        <w:t>obvious</w:t>
      </w:r>
      <w:r>
        <w:rPr>
          <w:rFonts w:hint="eastAsia" w:ascii="Times New Roman" w:hAnsi="宋体"/>
          <w:color w:val="auto"/>
          <w:sz w:val="20"/>
          <w:szCs w:val="20"/>
          <w:highlight w:val="none"/>
        </w:rPr>
        <w:t xml:space="preserve"> performance advantage in different information block size range. More importantly, channel coding scheme for URLLC has not be discussed and decided. Meanwhile </w:t>
      </w:r>
      <w:r>
        <w:rPr>
          <w:rFonts w:ascii="Times New Roman" w:hAnsi="宋体"/>
          <w:color w:val="auto"/>
          <w:sz w:val="20"/>
          <w:szCs w:val="20"/>
          <w:highlight w:val="none"/>
        </w:rPr>
        <w:t xml:space="preserve">the performance </w:t>
      </w:r>
      <w:r>
        <w:rPr>
          <w:rFonts w:hint="eastAsia" w:ascii="Times New Roman" w:hAnsi="宋体"/>
          <w:color w:val="auto"/>
          <w:sz w:val="20"/>
          <w:szCs w:val="20"/>
          <w:highlight w:val="none"/>
        </w:rPr>
        <w:t>of error floor</w:t>
      </w:r>
      <w:r>
        <w:rPr>
          <w:rFonts w:ascii="Times New Roman" w:hAnsi="宋体"/>
          <w:color w:val="auto"/>
          <w:sz w:val="20"/>
          <w:szCs w:val="20"/>
          <w:highlight w:val="none"/>
        </w:rPr>
        <w:t xml:space="preserve"> is </w:t>
      </w:r>
      <w:r>
        <w:rPr>
          <w:rFonts w:hint="eastAsia" w:ascii="Times New Roman" w:hAnsi="宋体"/>
          <w:color w:val="auto"/>
          <w:sz w:val="20"/>
          <w:szCs w:val="20"/>
          <w:highlight w:val="none"/>
        </w:rPr>
        <w:t xml:space="preserve">still </w:t>
      </w:r>
      <w:r>
        <w:rPr>
          <w:rFonts w:ascii="Times New Roman" w:hAnsi="宋体"/>
          <w:color w:val="auto"/>
          <w:sz w:val="20"/>
          <w:szCs w:val="20"/>
          <w:highlight w:val="none"/>
        </w:rPr>
        <w:t>not clear</w:t>
      </w:r>
      <w:r>
        <w:rPr>
          <w:rFonts w:hint="eastAsia" w:ascii="Times New Roman" w:hAnsi="宋体"/>
          <w:color w:val="auto"/>
          <w:sz w:val="20"/>
          <w:szCs w:val="20"/>
          <w:highlight w:val="none"/>
        </w:rPr>
        <w:t xml:space="preserve"> for both codes. Thus </w:t>
      </w:r>
      <w:r>
        <w:rPr>
          <w:rFonts w:ascii="Times New Roman" w:hAnsi="宋体"/>
          <w:color w:val="auto"/>
          <w:sz w:val="20"/>
          <w:szCs w:val="20"/>
          <w:highlight w:val="none"/>
        </w:rPr>
        <w:t xml:space="preserve">the TBS selection should be done after the channel coding scheme is completed. </w:t>
      </w:r>
      <w:r>
        <w:rPr>
          <w:rFonts w:hint="eastAsia" w:ascii="Times New Roman" w:hAnsi="宋体"/>
          <w:color w:val="auto"/>
          <w:sz w:val="20"/>
          <w:szCs w:val="20"/>
          <w:highlight w:val="none"/>
        </w:rPr>
        <w:t xml:space="preserve">Furthermore, the target BLER for URLLC is different with  that for eMBB. Based on the above </w:t>
      </w:r>
      <w:r>
        <w:rPr>
          <w:rFonts w:ascii="Times New Roman" w:hAnsi="宋体"/>
          <w:color w:val="auto"/>
          <w:sz w:val="20"/>
          <w:szCs w:val="20"/>
          <w:highlight w:val="none"/>
        </w:rPr>
        <w:t>analys</w:t>
      </w:r>
      <w:r>
        <w:rPr>
          <w:rFonts w:hint="eastAsia" w:ascii="Times New Roman" w:hAnsi="宋体"/>
          <w:color w:val="auto"/>
          <w:sz w:val="20"/>
          <w:szCs w:val="20"/>
          <w:highlight w:val="none"/>
        </w:rPr>
        <w:t xml:space="preserve">is, it is difficult that the CQI/MCS table for URLLC is difficult to be decided, and it is unreasonable that CQI/MCS table for URLLC is reused. We suggest </w:t>
      </w:r>
      <w:r>
        <w:rPr>
          <w:rFonts w:hint="eastAsia" w:ascii="Times New Roman" w:hAnsi="宋体"/>
          <w:color w:val="auto"/>
          <w:sz w:val="20"/>
          <w:szCs w:val="20"/>
          <w:highlight w:val="none"/>
          <w:lang w:val="en-US" w:eastAsia="zh-CN"/>
        </w:rPr>
        <w:t xml:space="preserve">that </w:t>
      </w:r>
      <w:r>
        <w:rPr>
          <w:rFonts w:hint="eastAsia" w:ascii="Times New Roman" w:hAnsi="宋体"/>
          <w:color w:val="auto"/>
          <w:sz w:val="20"/>
          <w:szCs w:val="20"/>
          <w:highlight w:val="none"/>
        </w:rPr>
        <w:t xml:space="preserve">the discussion on CQI/MCS table for URLLC </w:t>
      </w:r>
      <w:r>
        <w:rPr>
          <w:rFonts w:hint="eastAsia" w:ascii="Times New Roman" w:hAnsi="宋体"/>
          <w:color w:val="auto"/>
          <w:sz w:val="20"/>
          <w:szCs w:val="20"/>
          <w:highlight w:val="none"/>
          <w:lang w:val="en-US" w:eastAsia="zh-CN"/>
        </w:rPr>
        <w:t>is</w:t>
      </w:r>
      <w:r>
        <w:rPr>
          <w:rFonts w:hint="eastAsia" w:ascii="Times New Roman" w:hAnsi="宋体"/>
          <w:color w:val="auto"/>
          <w:sz w:val="20"/>
          <w:szCs w:val="20"/>
          <w:highlight w:val="none"/>
        </w:rPr>
        <w:t xml:space="preserve"> delayed to next year.</w:t>
      </w:r>
    </w:p>
    <w:p>
      <w:pPr>
        <w:spacing w:after="50"/>
        <w:ind w:firstLine="440" w:firstLineChars="200"/>
        <w:jc w:val="center"/>
        <w:rPr>
          <w:rFonts w:hint="eastAsia" w:ascii="Times New Roman" w:hAnsi="Times New Roman"/>
          <w:color w:val="auto"/>
          <w:highlight w:val="none"/>
        </w:rPr>
      </w:pPr>
      <w:r>
        <w:rPr>
          <w:rFonts w:ascii="Times New Roman" w:hAnsi="Times New Roman"/>
          <w:color w:val="auto"/>
          <w:highlight w:val="none"/>
        </w:rPr>
        <w:drawing>
          <wp:inline distT="0" distB="0" distL="114300" distR="114300">
            <wp:extent cx="5266690" cy="316674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4" cstate="print"/>
                    <a:stretch>
                      <a:fillRect/>
                    </a:stretch>
                  </pic:blipFill>
                  <pic:spPr>
                    <a:xfrm>
                      <a:off x="0" y="0"/>
                      <a:ext cx="5269865" cy="3169080"/>
                    </a:xfrm>
                    <a:prstGeom prst="rect">
                      <a:avLst/>
                    </a:prstGeom>
                    <a:noFill/>
                    <a:ln w="9525">
                      <a:noFill/>
                    </a:ln>
                  </pic:spPr>
                </pic:pic>
              </a:graphicData>
            </a:graphic>
          </wp:inline>
        </w:drawing>
      </w:r>
    </w:p>
    <w:p>
      <w:pPr>
        <w:spacing w:after="50"/>
        <w:ind w:firstLine="660" w:firstLineChars="300"/>
        <w:jc w:val="center"/>
        <w:rPr>
          <w:rFonts w:hint="eastAsia" w:ascii="Times New Roman" w:hAnsi="Times New Roman"/>
          <w:color w:val="auto"/>
          <w:sz w:val="20"/>
          <w:szCs w:val="20"/>
          <w:highlight w:val="none"/>
        </w:rPr>
      </w:pPr>
      <w:r>
        <w:rPr>
          <w:rFonts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eastAsia="zh-CN"/>
        </w:rPr>
        <w:t>1</w:t>
      </w:r>
      <w:r>
        <w:rPr>
          <w:rFonts w:hint="eastAsia" w:ascii="Times New Roman" w:hAnsi="Times New Roman"/>
          <w:color w:val="auto"/>
          <w:sz w:val="20"/>
          <w:szCs w:val="20"/>
          <w:highlight w:val="none"/>
          <w:lang w:val="en-US" w:eastAsia="zh-CN"/>
        </w:rPr>
        <w:t xml:space="preserve"> </w:t>
      </w:r>
      <w:r>
        <w:rPr>
          <w:rFonts w:hint="eastAsia" w:ascii="Times New Roman" w:hAnsi="Times New Roman"/>
          <w:color w:val="auto"/>
          <w:sz w:val="20"/>
          <w:szCs w:val="20"/>
          <w:highlight w:val="none"/>
        </w:rPr>
        <w:t>Performance comparison of Polar codes and LDPC codes for URLLC</w:t>
      </w:r>
    </w:p>
    <w:p>
      <w:pPr>
        <w:spacing w:after="50"/>
        <w:ind w:firstLine="440" w:firstLineChars="200"/>
        <w:jc w:val="center"/>
        <w:rPr>
          <w:rFonts w:hint="eastAsia" w:ascii="Times New Roman" w:hAnsi="Times New Roman"/>
          <w:color w:val="auto"/>
          <w:highlight w:val="none"/>
        </w:rPr>
      </w:pPr>
      <w:r>
        <w:rPr>
          <w:rFonts w:ascii="Times New Roman" w:hAnsi="Times New Roman"/>
          <w:color w:val="auto"/>
          <w:highlight w:val="none"/>
        </w:rPr>
        <w:drawing>
          <wp:inline distT="0" distB="0" distL="114300" distR="114300">
            <wp:extent cx="5266690" cy="296227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5" cstate="print"/>
                    <a:stretch>
                      <a:fillRect/>
                    </a:stretch>
                  </pic:blipFill>
                  <pic:spPr>
                    <a:xfrm>
                      <a:off x="0" y="0"/>
                      <a:ext cx="5269865" cy="2964140"/>
                    </a:xfrm>
                    <a:prstGeom prst="rect">
                      <a:avLst/>
                    </a:prstGeom>
                    <a:noFill/>
                    <a:ln w="9525">
                      <a:noFill/>
                    </a:ln>
                  </pic:spPr>
                </pic:pic>
              </a:graphicData>
            </a:graphic>
          </wp:inline>
        </w:drawing>
      </w:r>
    </w:p>
    <w:p>
      <w:pPr>
        <w:spacing w:after="50"/>
        <w:ind w:firstLine="1200" w:firstLineChars="600"/>
        <w:jc w:val="center"/>
        <w:rPr>
          <w:rFonts w:hint="eastAsia" w:ascii="Times New Roman" w:hAnsi="Times New Roman"/>
          <w:color w:val="auto"/>
          <w:sz w:val="20"/>
          <w:szCs w:val="20"/>
          <w:highlight w:val="none"/>
        </w:rPr>
      </w:pPr>
      <w:r>
        <w:rPr>
          <w:rFonts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eastAsia="zh-CN"/>
        </w:rPr>
        <w:t>2</w:t>
      </w:r>
      <w:r>
        <w:rPr>
          <w:rFonts w:ascii="Times New Roman" w:hAnsi="Times New Roman"/>
          <w:color w:val="auto"/>
          <w:sz w:val="20"/>
          <w:szCs w:val="20"/>
          <w:highlight w:val="none"/>
        </w:rPr>
        <w:t xml:space="preserve"> </w:t>
      </w:r>
      <w:r>
        <w:rPr>
          <w:rFonts w:hint="eastAsia" w:ascii="Times New Roman" w:hAnsi="Times New Roman"/>
          <w:color w:val="auto"/>
          <w:sz w:val="20"/>
          <w:szCs w:val="20"/>
          <w:highlight w:val="none"/>
        </w:rPr>
        <w:t>Performance comparison of Polar codes and LDPC codes for URLLC</w:t>
      </w:r>
    </w:p>
    <w:p>
      <w:pPr>
        <w:spacing w:after="50"/>
        <w:ind w:firstLine="0" w:firstLineChars="0"/>
        <w:jc w:val="center"/>
        <w:rPr>
          <w:rFonts w:hint="eastAsia" w:ascii="Times New Roman" w:hAnsi="Times New Roman"/>
          <w:b/>
          <w:bCs/>
          <w:color w:val="auto"/>
          <w:sz w:val="20"/>
          <w:szCs w:val="20"/>
          <w:highlight w:val="none"/>
        </w:rPr>
      </w:pPr>
      <w:r>
        <w:rPr>
          <w:rFonts w:hint="eastAsia" w:ascii="Times New Roman" w:hAnsi="Times New Roman"/>
          <w:b/>
          <w:bCs/>
          <w:color w:val="auto"/>
          <w:sz w:val="20"/>
          <w:szCs w:val="20"/>
          <w:highlight w:val="none"/>
        </w:rPr>
        <w:t xml:space="preserve">Table </w:t>
      </w:r>
      <w:r>
        <w:rPr>
          <w:rFonts w:hint="eastAsia" w:ascii="Times New Roman" w:hAnsi="Times New Roman"/>
          <w:b/>
          <w:bCs/>
          <w:color w:val="auto"/>
          <w:sz w:val="20"/>
          <w:szCs w:val="20"/>
          <w:highlight w:val="none"/>
          <w:lang w:eastAsia="zh-CN"/>
        </w:rPr>
        <w:t>1</w:t>
      </w:r>
      <w:r>
        <w:rPr>
          <w:rFonts w:hint="eastAsia" w:ascii="Times New Roman" w:hAnsi="Times New Roman"/>
          <w:b/>
          <w:bCs/>
          <w:color w:val="auto"/>
          <w:sz w:val="20"/>
          <w:szCs w:val="20"/>
          <w:highlight w:val="none"/>
          <w:lang w:val="en-US" w:eastAsia="zh-CN"/>
        </w:rPr>
        <w:t xml:space="preserve"> </w:t>
      </w:r>
      <w:bookmarkStart w:id="4" w:name="_GoBack"/>
      <w:bookmarkEnd w:id="4"/>
      <w:r>
        <w:rPr>
          <w:rFonts w:ascii="Times New Roman" w:hAnsi="Times New Roman"/>
          <w:b/>
          <w:bCs/>
          <w:color w:val="auto"/>
          <w:sz w:val="20"/>
          <w:szCs w:val="20"/>
          <w:highlight w:val="none"/>
        </w:rPr>
        <w:t>S</w:t>
      </w:r>
      <w:r>
        <w:rPr>
          <w:rFonts w:hint="eastAsia" w:ascii="Times New Roman" w:hAnsi="Times New Roman"/>
          <w:b/>
          <w:bCs/>
          <w:color w:val="auto"/>
          <w:sz w:val="20"/>
          <w:szCs w:val="20"/>
          <w:highlight w:val="none"/>
        </w:rPr>
        <w:t>imulation assumption of Polar codes and LDPC codes for URLLC</w:t>
      </w:r>
    </w:p>
    <w:tbl>
      <w:tblPr>
        <w:tblStyle w:val="22"/>
        <w:tblW w:w="70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52"/>
        <w:gridCol w:w="2126"/>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ascii="Times New Roman" w:hAnsi="Times New Roman"/>
                <w:color w:val="auto"/>
                <w:sz w:val="20"/>
                <w:szCs w:val="20"/>
                <w:highlight w:val="none"/>
              </w:rPr>
              <w:t>Attributes</w:t>
            </w:r>
          </w:p>
        </w:tc>
        <w:tc>
          <w:tcPr>
            <w:tcW w:w="4536" w:type="dxa"/>
            <w:gridSpan w:val="2"/>
          </w:tcPr>
          <w:p>
            <w:pPr>
              <w:spacing w:after="50"/>
              <w:rPr>
                <w:rFonts w:hint="eastAsia" w:ascii="Times New Roman" w:hAnsi="Times New Roman"/>
                <w:color w:val="auto"/>
                <w:sz w:val="20"/>
                <w:szCs w:val="20"/>
                <w:highlight w:val="none"/>
              </w:rPr>
            </w:pPr>
            <w:r>
              <w:rPr>
                <w:rFonts w:ascii="Times New Roman" w:hAnsi="Times New Roman"/>
                <w:color w:val="auto"/>
                <w:sz w:val="20"/>
                <w:szCs w:val="20"/>
                <w:highlight w:val="none"/>
              </w:rPr>
              <w:t>Values or assumptions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Channel model</w:t>
            </w:r>
          </w:p>
        </w:tc>
        <w:tc>
          <w:tcPr>
            <w:tcW w:w="4536" w:type="dxa"/>
            <w:gridSpan w:val="2"/>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AWGN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Code rate</w:t>
            </w:r>
          </w:p>
        </w:tc>
        <w:tc>
          <w:tcPr>
            <w:tcW w:w="4536" w:type="dxa"/>
            <w:gridSpan w:val="2"/>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1/12,1/6,1/3,1/2,2/3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Information size(wo CRC)</w:t>
            </w:r>
          </w:p>
        </w:tc>
        <w:tc>
          <w:tcPr>
            <w:tcW w:w="4536" w:type="dxa"/>
            <w:gridSpan w:val="2"/>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40,1600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Coded block size</w:t>
            </w:r>
          </w:p>
        </w:tc>
        <w:tc>
          <w:tcPr>
            <w:tcW w:w="4536" w:type="dxa"/>
            <w:gridSpan w:val="2"/>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 xml:space="preserve">Information block size(wo CRC)/code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Coding scheme</w:t>
            </w:r>
          </w:p>
        </w:tc>
        <w:tc>
          <w:tcPr>
            <w:tcW w:w="2126"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NR CA-Polar code</w:t>
            </w:r>
          </w:p>
        </w:tc>
        <w:tc>
          <w:tcPr>
            <w:tcW w:w="2410"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NR LDPC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CRC length</w:t>
            </w:r>
          </w:p>
        </w:tc>
        <w:tc>
          <w:tcPr>
            <w:tcW w:w="2126"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24 bits</w:t>
            </w:r>
          </w:p>
        </w:tc>
        <w:tc>
          <w:tcPr>
            <w:tcW w:w="2410"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16 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2"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Decoding algorthm</w:t>
            </w:r>
          </w:p>
        </w:tc>
        <w:tc>
          <w:tcPr>
            <w:tcW w:w="2126" w:type="dxa"/>
          </w:tcPr>
          <w:p>
            <w:pPr>
              <w:rPr>
                <w:rFonts w:ascii="Times New Roman" w:hAnsi="Times New Roman"/>
                <w:color w:val="auto"/>
                <w:sz w:val="20"/>
                <w:szCs w:val="20"/>
                <w:highlight w:val="none"/>
              </w:rPr>
            </w:pPr>
            <w:r>
              <w:rPr>
                <w:rFonts w:ascii="Times New Roman" w:hAnsi="Times New Roman"/>
                <w:color w:val="auto"/>
                <w:sz w:val="20"/>
                <w:szCs w:val="20"/>
                <w:highlight w:val="none"/>
              </w:rPr>
              <w:t>SCL, List =</w:t>
            </w:r>
            <w:r>
              <w:rPr>
                <w:rFonts w:hint="eastAsia" w:ascii="Times New Roman" w:hAnsi="Times New Roman"/>
                <w:color w:val="auto"/>
                <w:sz w:val="20"/>
                <w:szCs w:val="20"/>
                <w:highlight w:val="none"/>
              </w:rPr>
              <w:t>32</w:t>
            </w:r>
            <w:r>
              <w:rPr>
                <w:rFonts w:ascii="Times New Roman" w:hAnsi="Times New Roman"/>
                <w:color w:val="auto"/>
                <w:sz w:val="20"/>
                <w:szCs w:val="20"/>
                <w:highlight w:val="none"/>
              </w:rPr>
              <w:t xml:space="preserve"> </w:t>
            </w:r>
          </w:p>
          <w:p>
            <w:pPr>
              <w:spacing w:after="50"/>
              <w:rPr>
                <w:rFonts w:hint="eastAsia" w:ascii="Times New Roman" w:hAnsi="Times New Roman"/>
                <w:color w:val="auto"/>
                <w:sz w:val="20"/>
                <w:szCs w:val="20"/>
                <w:highlight w:val="none"/>
              </w:rPr>
            </w:pPr>
            <w:r>
              <w:rPr>
                <w:rFonts w:ascii="Times New Roman" w:hAnsi="Times New Roman"/>
                <w:color w:val="auto"/>
                <w:sz w:val="20"/>
                <w:szCs w:val="20"/>
                <w:highlight w:val="none"/>
              </w:rPr>
              <w:t xml:space="preserve">Nmax </w:t>
            </w:r>
            <w:r>
              <w:rPr>
                <w:rFonts w:hint="eastAsia" w:ascii="Times New Roman" w:hAnsi="Times New Roman"/>
                <w:color w:val="auto"/>
                <w:sz w:val="20"/>
                <w:szCs w:val="20"/>
                <w:highlight w:val="none"/>
              </w:rPr>
              <w:t>=4096</w:t>
            </w:r>
          </w:p>
        </w:tc>
        <w:tc>
          <w:tcPr>
            <w:tcW w:w="2410" w:type="dxa"/>
          </w:tcPr>
          <w:p>
            <w:pPr>
              <w:spacing w:after="50"/>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F</w:t>
            </w:r>
            <w:r>
              <w:rPr>
                <w:rFonts w:ascii="Times New Roman" w:hAnsi="Times New Roman"/>
                <w:color w:val="auto"/>
                <w:sz w:val="20"/>
                <w:szCs w:val="20"/>
                <w:highlight w:val="none"/>
              </w:rPr>
              <w:t xml:space="preserve">looding </w:t>
            </w:r>
            <w:r>
              <w:rPr>
                <w:rFonts w:hint="eastAsia" w:ascii="Times New Roman" w:hAnsi="Times New Roman"/>
                <w:color w:val="auto"/>
                <w:sz w:val="20"/>
                <w:szCs w:val="20"/>
                <w:highlight w:val="none"/>
              </w:rPr>
              <w:t>BP</w:t>
            </w:r>
            <w:r>
              <w:rPr>
                <w:rFonts w:ascii="Times New Roman" w:hAnsi="Times New Roman"/>
                <w:color w:val="auto"/>
                <w:sz w:val="20"/>
                <w:szCs w:val="20"/>
                <w:highlight w:val="none"/>
              </w:rPr>
              <w:t>, 50 iterations</w:t>
            </w:r>
          </w:p>
        </w:tc>
      </w:tr>
    </w:tbl>
    <w:p>
      <w:pPr>
        <w:adjustRightInd w:val="0"/>
        <w:snapToGrid w:val="0"/>
        <w:spacing w:before="120"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 xml:space="preserve">Proposal 1: </w:t>
      </w:r>
      <w:r>
        <w:rPr>
          <w:rFonts w:hint="eastAsia" w:ascii="Times New Roman" w:hAnsi="宋体"/>
          <w:i/>
          <w:iCs/>
          <w:color w:val="auto"/>
          <w:sz w:val="20"/>
          <w:szCs w:val="20"/>
          <w:highlight w:val="none"/>
        </w:rPr>
        <w:t xml:space="preserve">Dedicated CQI/MCS table for URLLC TBS </w:t>
      </w:r>
      <w:r>
        <w:rPr>
          <w:rFonts w:ascii="Times New Roman" w:hAnsi="宋体"/>
          <w:i/>
          <w:iCs/>
          <w:color w:val="auto"/>
          <w:sz w:val="20"/>
          <w:szCs w:val="20"/>
          <w:highlight w:val="none"/>
        </w:rPr>
        <w:t>table for</w:t>
      </w:r>
      <w:r>
        <w:rPr>
          <w:rFonts w:hint="eastAsia" w:ascii="Times New Roman" w:hAnsi="宋体"/>
          <w:i/>
          <w:iCs/>
          <w:color w:val="auto"/>
          <w:sz w:val="20"/>
          <w:szCs w:val="20"/>
          <w:highlight w:val="none"/>
        </w:rPr>
        <w:t xml:space="preserve"> URLLC should be </w:t>
      </w:r>
      <w:r>
        <w:rPr>
          <w:rFonts w:ascii="Times New Roman" w:hAnsi="宋体"/>
          <w:i/>
          <w:iCs/>
          <w:color w:val="auto"/>
          <w:sz w:val="20"/>
          <w:szCs w:val="20"/>
          <w:highlight w:val="none"/>
        </w:rPr>
        <w:t>decided after</w:t>
      </w:r>
      <w:r>
        <w:rPr>
          <w:rFonts w:hint="eastAsia" w:ascii="Times New Roman" w:hAnsi="宋体"/>
          <w:i/>
          <w:iCs/>
          <w:color w:val="auto"/>
          <w:sz w:val="20"/>
          <w:szCs w:val="20"/>
          <w:highlight w:val="none"/>
        </w:rPr>
        <w:t xml:space="preserve"> channel coding schemes for URLLC is decided.</w:t>
      </w:r>
    </w:p>
    <w:p>
      <w:pPr>
        <w:numPr>
          <w:ilvl w:val="0"/>
          <w:numId w:val="10"/>
        </w:numPr>
        <w:spacing w:before="120" w:after="0" w:line="240" w:lineRule="auto"/>
        <w:ind w:left="357" w:hanging="357"/>
        <w:jc w:val="both"/>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Discussion on NR eMBB CQI table</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宋体"/>
          <w:b/>
          <w:bCs/>
          <w:color w:val="auto"/>
          <w:sz w:val="20"/>
          <w:szCs w:val="20"/>
          <w:highlight w:val="none"/>
          <w:u w:val="single"/>
        </w:rPr>
        <w:t>On NR CQI table for eMBB</w:t>
      </w:r>
    </w:p>
    <w:p>
      <w:pPr>
        <w:adjustRightInd w:val="0"/>
        <w:snapToGrid w:val="0"/>
        <w:spacing w:before="120" w:line="240" w:lineRule="auto"/>
        <w:jc w:val="both"/>
        <w:rPr>
          <w:rFonts w:ascii="Times New Roman" w:hAnsi="Times New Roman"/>
          <w:color w:val="auto"/>
          <w:sz w:val="20"/>
          <w:szCs w:val="20"/>
          <w:highlight w:val="none"/>
        </w:rPr>
      </w:pPr>
      <w:r>
        <w:rPr>
          <w:rFonts w:ascii="Times New Roman" w:hAnsi="Times New Roman"/>
          <w:color w:val="auto"/>
          <w:sz w:val="20"/>
          <w:szCs w:val="20"/>
          <w:highlight w:val="none"/>
        </w:rPr>
        <w:t xml:space="preserve">For CQI table of maximum modulation order of 64QAM, </w:t>
      </w:r>
      <w:r>
        <w:rPr>
          <w:rFonts w:hint="eastAsia" w:ascii="Times New Roman" w:hAnsi="Times New Roman"/>
          <w:color w:val="auto"/>
          <w:sz w:val="20"/>
          <w:szCs w:val="20"/>
          <w:highlight w:val="none"/>
        </w:rPr>
        <w:t>it has been agreed to reuse</w:t>
      </w:r>
      <w:r>
        <w:rPr>
          <w:rFonts w:ascii="Times New Roman" w:hAnsi="Times New Roman"/>
          <w:color w:val="auto"/>
          <w:sz w:val="20"/>
          <w:szCs w:val="20"/>
          <w:highlight w:val="none"/>
        </w:rPr>
        <w:t xml:space="preserve"> LTE Rel-8</w:t>
      </w:r>
      <w:r>
        <w:rPr>
          <w:rFonts w:hint="eastAsia" w:ascii="Times New Roman" w:hAnsi="Times New Roman"/>
          <w:color w:val="auto"/>
          <w:sz w:val="20"/>
          <w:szCs w:val="20"/>
          <w:highlight w:val="none"/>
        </w:rPr>
        <w:t xml:space="preserve"> table</w:t>
      </w:r>
      <w:r>
        <w:rPr>
          <w:rFonts w:ascii="Times New Roman" w:hAnsi="Times New Roman"/>
          <w:color w:val="auto"/>
          <w:sz w:val="20"/>
          <w:szCs w:val="20"/>
          <w:highlight w:val="none"/>
        </w:rPr>
        <w:t xml:space="preserve"> is reused</w:t>
      </w:r>
      <w:r>
        <w:rPr>
          <w:rFonts w:hint="eastAsia" w:ascii="Times New Roman" w:hAnsi="Times New Roman"/>
          <w:color w:val="auto"/>
          <w:sz w:val="20"/>
          <w:szCs w:val="20"/>
          <w:highlight w:val="none"/>
        </w:rPr>
        <w:t xml:space="preserve">. For </w:t>
      </w:r>
      <w:r>
        <w:rPr>
          <w:rFonts w:ascii="Times New Roman" w:hAnsi="Times New Roman"/>
          <w:color w:val="auto"/>
          <w:sz w:val="20"/>
          <w:szCs w:val="20"/>
          <w:highlight w:val="none"/>
        </w:rPr>
        <w:t>CQI table</w:t>
      </w:r>
      <w:r>
        <w:rPr>
          <w:rFonts w:hint="eastAsia" w:ascii="Times New Roman" w:hAnsi="Times New Roman"/>
          <w:color w:val="auto"/>
          <w:sz w:val="20"/>
          <w:szCs w:val="20"/>
          <w:highlight w:val="none"/>
        </w:rPr>
        <w:t xml:space="preserve"> up to 256QAM, </w:t>
      </w:r>
      <w:r>
        <w:rPr>
          <w:rFonts w:ascii="Times New Roman" w:hAnsi="Times New Roman"/>
          <w:color w:val="auto"/>
          <w:sz w:val="20"/>
          <w:szCs w:val="20"/>
          <w:highlight w:val="none"/>
        </w:rPr>
        <w:t>the details</w:t>
      </w:r>
      <w:r>
        <w:rPr>
          <w:rFonts w:hint="eastAsia" w:ascii="Times New Roman" w:hAnsi="Times New Roman"/>
          <w:color w:val="auto"/>
          <w:sz w:val="20"/>
          <w:szCs w:val="20"/>
          <w:highlight w:val="none"/>
        </w:rPr>
        <w:t xml:space="preserve"> need to be studied. </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In LTE 256QAM CQI table, the highest code rate is 0.9258 which is the upper limit for LTE. The efficiency of the CQI index 15 is closer to CQI index 14 than the last gap between CQI 14 and CQI 13. According to the agreement of RAN1#90bis, </w:t>
      </w:r>
      <w:r>
        <w:rPr>
          <w:rFonts w:ascii="Times New Roman" w:hAnsi="Times New Roman"/>
          <w:color w:val="auto"/>
          <w:sz w:val="20"/>
          <w:szCs w:val="20"/>
          <w:highlight w:val="none"/>
        </w:rPr>
        <w:t>UE can skip decoding with BG1 when the effective code rate is &gt; 0.95</w:t>
      </w:r>
      <w:r>
        <w:rPr>
          <w:rFonts w:hint="eastAsia" w:ascii="Times New Roman" w:hAnsi="Times New Roman"/>
          <w:color w:val="auto"/>
          <w:sz w:val="20"/>
          <w:szCs w:val="20"/>
          <w:highlight w:val="none"/>
        </w:rPr>
        <w:t xml:space="preserve">. The highest code rate should be 0.95 for NR </w:t>
      </w:r>
      <w:r>
        <w:rPr>
          <w:rFonts w:ascii="Times New Roman" w:hAnsi="Times New Roman"/>
          <w:color w:val="auto"/>
          <w:sz w:val="20"/>
          <w:szCs w:val="20"/>
          <w:highlight w:val="none"/>
        </w:rPr>
        <w:t>CQI table</w:t>
      </w:r>
      <w:r>
        <w:rPr>
          <w:rFonts w:hint="eastAsia" w:ascii="Times New Roman" w:hAnsi="Times New Roman"/>
          <w:color w:val="auto"/>
          <w:sz w:val="20"/>
          <w:szCs w:val="20"/>
          <w:highlight w:val="none"/>
        </w:rPr>
        <w:t xml:space="preserve"> up to 256QAM. So the code rate x 1024 of CQI index 15 should be modified from 948 to 972.</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We simulate the spectral efficiency of LTE 64QAM and 256QAM tables (with highest code rate modified) based on both Turbo and LDPC in Fig.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The simulation assumptions are provided in appendix. Figure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(b) gives the simulation results of the SNR/efficiency respectively using Turbo and LDPC code. Figure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(a) gives the simulation results of the SNR/efficiency respectively using Turbo and LDPC code according to 64QAM CQI table. We can find that in figure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(b) the SNR/efficiency points of LDPC are similar to that of Turbo and only the similar offsets are between them.  Moreover, the gap of the SNR/efficiency points between LDPC and Turbo is similar for the figure</w:t>
      </w:r>
      <w:r>
        <w:rPr>
          <w:rFonts w:hint="eastAsia" w:ascii="Times New Roman" w:hAnsi="Times New Roman"/>
          <w:color w:val="auto"/>
          <w:sz w:val="20"/>
          <w:szCs w:val="20"/>
          <w:highlight w:val="none"/>
          <w:lang w:val="en-US" w:eastAsia="zh-CN"/>
        </w:rPr>
        <w:t xml:space="preserve"> 3</w:t>
      </w:r>
      <w:r>
        <w:rPr>
          <w:rFonts w:hint="eastAsia" w:ascii="Times New Roman" w:hAnsi="Times New Roman"/>
          <w:color w:val="auto"/>
          <w:sz w:val="20"/>
          <w:szCs w:val="20"/>
          <w:highlight w:val="none"/>
        </w:rPr>
        <w:t xml:space="preserve">(a) and (b). Since 64QAM CQI table of LTE is reused for NR, we suggest table </w:t>
      </w:r>
      <w:r>
        <w:rPr>
          <w:rFonts w:hint="eastAsia" w:ascii="Times New Roman" w:hAnsi="Times New Roman"/>
          <w:color w:val="auto"/>
          <w:sz w:val="20"/>
          <w:szCs w:val="20"/>
          <w:highlight w:val="none"/>
          <w:lang w:val="en-US" w:eastAsia="zh-CN"/>
        </w:rPr>
        <w:t>2</w:t>
      </w:r>
      <w:r>
        <w:rPr>
          <w:rFonts w:hint="eastAsia" w:ascii="Times New Roman" w:hAnsi="Times New Roman"/>
          <w:color w:val="auto"/>
          <w:sz w:val="20"/>
          <w:szCs w:val="20"/>
          <w:highlight w:val="none"/>
        </w:rPr>
        <w:t xml:space="preserve"> should be used for the </w:t>
      </w:r>
      <w:r>
        <w:rPr>
          <w:rFonts w:ascii="Times New Roman" w:hAnsi="Times New Roman"/>
          <w:color w:val="auto"/>
          <w:sz w:val="20"/>
          <w:szCs w:val="20"/>
          <w:highlight w:val="none"/>
        </w:rPr>
        <w:t xml:space="preserve">CQI table of maximum modulation order of </w:t>
      </w:r>
      <w:r>
        <w:rPr>
          <w:rFonts w:hint="eastAsia" w:ascii="Times New Roman" w:hAnsi="Times New Roman"/>
          <w:color w:val="auto"/>
          <w:sz w:val="20"/>
          <w:szCs w:val="20"/>
          <w:highlight w:val="none"/>
        </w:rPr>
        <w:t>256</w:t>
      </w:r>
      <w:r>
        <w:rPr>
          <w:rFonts w:ascii="Times New Roman" w:hAnsi="Times New Roman"/>
          <w:color w:val="auto"/>
          <w:sz w:val="20"/>
          <w:szCs w:val="20"/>
          <w:highlight w:val="none"/>
        </w:rPr>
        <w:t>QAM</w:t>
      </w:r>
      <w:r>
        <w:rPr>
          <w:rFonts w:hint="eastAsia" w:ascii="Times New Roman" w:hAnsi="Times New Roman"/>
          <w:color w:val="auto"/>
          <w:sz w:val="20"/>
          <w:szCs w:val="20"/>
          <w:highlight w:val="none"/>
        </w:rPr>
        <w:t xml:space="preserve"> for NR.</w:t>
      </w:r>
    </w:p>
    <w:p>
      <w:pPr>
        <w:adjustRightInd w:val="0"/>
        <w:snapToGrid w:val="0"/>
        <w:spacing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Proposal 2</w:t>
      </w:r>
      <w:r>
        <w:rPr>
          <w:rFonts w:hint="eastAsia" w:ascii="Times New Roman" w:hAnsi="宋体"/>
          <w:i/>
          <w:iCs/>
          <w:color w:val="auto"/>
          <w:sz w:val="20"/>
          <w:szCs w:val="20"/>
          <w:highlight w:val="none"/>
        </w:rPr>
        <w:t xml:space="preserve">: NR reuses CQI index 0-14 of LTE 256QAM CQI table. </w:t>
      </w:r>
    </w:p>
    <w:p>
      <w:pPr>
        <w:numPr>
          <w:ilvl w:val="0"/>
          <w:numId w:val="11"/>
        </w:numPr>
        <w:adjustRightInd w:val="0"/>
        <w:snapToGrid w:val="0"/>
        <w:spacing w:line="240" w:lineRule="auto"/>
        <w:ind w:left="840"/>
        <w:jc w:val="both"/>
        <w:rPr>
          <w:rFonts w:ascii="Times New Roman" w:hAnsi="Times New Roman"/>
          <w:color w:val="auto"/>
          <w:sz w:val="20"/>
          <w:szCs w:val="20"/>
          <w:highlight w:val="none"/>
        </w:rPr>
      </w:pPr>
      <w:r>
        <w:rPr>
          <w:rFonts w:hint="eastAsia" w:ascii="Times New Roman" w:hAnsi="宋体"/>
          <w:i/>
          <w:iCs/>
          <w:color w:val="auto"/>
          <w:sz w:val="20"/>
          <w:szCs w:val="20"/>
          <w:highlight w:val="none"/>
        </w:rPr>
        <w:t>CQI index 15 is obtained by extending the highest code rate to 0.95.</w:t>
      </w:r>
    </w:p>
    <w:p>
      <w:pPr>
        <w:pStyle w:val="43"/>
        <w:rPr>
          <w:color w:val="auto"/>
          <w:highlight w:val="none"/>
        </w:rPr>
      </w:pPr>
      <w:r>
        <w:rPr>
          <w:rFonts w:hint="eastAsia" w:ascii="Times New Roman" w:hAnsi="Times New Roman"/>
          <w:color w:val="auto"/>
          <w:highlight w:val="none"/>
          <w:lang w:val="en-US" w:eastAsia="zh-CN"/>
        </w:rPr>
        <w:t>Table 2: 4-bit CQI Table up to 256QAM for NR</w:t>
      </w:r>
    </w:p>
    <w:tbl>
      <w:tblPr>
        <w:tblStyle w:val="21"/>
        <w:tblW w:w="5260" w:type="dxa"/>
        <w:jc w:val="center"/>
        <w:tblInd w:w="0" w:type="dxa"/>
        <w:tblLayout w:type="fixed"/>
        <w:tblCellMar>
          <w:top w:w="0" w:type="dxa"/>
          <w:left w:w="0" w:type="dxa"/>
          <w:bottom w:w="0" w:type="dxa"/>
          <w:right w:w="0" w:type="dxa"/>
        </w:tblCellMar>
      </w:tblPr>
      <w:tblGrid>
        <w:gridCol w:w="1155"/>
        <w:gridCol w:w="1228"/>
        <w:gridCol w:w="1761"/>
        <w:gridCol w:w="1116"/>
      </w:tblGrid>
      <w:tr>
        <w:tblPrEx>
          <w:tblLayout w:type="fixed"/>
          <w:tblCellMar>
            <w:top w:w="0" w:type="dxa"/>
            <w:left w:w="0" w:type="dxa"/>
            <w:bottom w:w="0" w:type="dxa"/>
            <w:right w:w="0" w:type="dxa"/>
          </w:tblCellMar>
        </w:tblPrEx>
        <w:trPr>
          <w:jc w:val="center"/>
        </w:trPr>
        <w:tc>
          <w:tcPr>
            <w:tcW w:w="1155" w:type="dxa"/>
            <w:tcBorders>
              <w:top w:val="single" w:color="auto" w:sz="8" w:space="0"/>
              <w:left w:val="single" w:color="auto" w:sz="8" w:space="0"/>
              <w:bottom w:val="double" w:color="auto" w:sz="4" w:space="0"/>
              <w:right w:val="single" w:color="auto" w:sz="8" w:space="0"/>
            </w:tcBorders>
            <w:shd w:val="clear" w:color="auto" w:fill="E0E0E0"/>
            <w:tcMar>
              <w:top w:w="0" w:type="dxa"/>
              <w:left w:w="108" w:type="dxa"/>
              <w:bottom w:w="0" w:type="dxa"/>
              <w:right w:w="108" w:type="dxa"/>
            </w:tcMar>
          </w:tcPr>
          <w:p>
            <w:pPr>
              <w:keepNext/>
              <w:keepLines/>
              <w:jc w:val="center"/>
              <w:rPr>
                <w:rFonts w:ascii="Times New Roman" w:hAnsi="Times New Roman"/>
                <w:b/>
                <w:color w:val="auto"/>
                <w:sz w:val="20"/>
                <w:szCs w:val="20"/>
                <w:highlight w:val="none"/>
              </w:rPr>
            </w:pPr>
            <w:r>
              <w:rPr>
                <w:rFonts w:hint="eastAsia" w:ascii="Times New Roman" w:hAnsi="Times New Roman"/>
                <w:b/>
                <w:color w:val="auto"/>
                <w:sz w:val="20"/>
                <w:szCs w:val="20"/>
                <w:highlight w:val="none"/>
              </w:rPr>
              <w:t>CQI index</w:t>
            </w:r>
          </w:p>
        </w:tc>
        <w:tc>
          <w:tcPr>
            <w:tcW w:w="122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jc w:val="center"/>
              <w:rPr>
                <w:rFonts w:ascii="Times New Roman" w:hAnsi="Times New Roman"/>
                <w:b/>
                <w:color w:val="auto"/>
                <w:sz w:val="20"/>
                <w:szCs w:val="20"/>
                <w:highlight w:val="none"/>
              </w:rPr>
            </w:pPr>
            <w:r>
              <w:rPr>
                <w:rFonts w:hint="eastAsia" w:ascii="Times New Roman" w:hAnsi="Times New Roman"/>
                <w:b/>
                <w:color w:val="auto"/>
                <w:sz w:val="20"/>
                <w:szCs w:val="20"/>
                <w:highlight w:val="none"/>
              </w:rPr>
              <w:t>modulation</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jc w:val="center"/>
              <w:rPr>
                <w:rFonts w:ascii="Times New Roman" w:hAnsi="Times New Roman"/>
                <w:b/>
                <w:color w:val="auto"/>
                <w:sz w:val="20"/>
                <w:szCs w:val="20"/>
                <w:highlight w:val="none"/>
              </w:rPr>
            </w:pPr>
            <w:r>
              <w:rPr>
                <w:rFonts w:hint="eastAsia" w:ascii="Times New Roman" w:hAnsi="Times New Roman"/>
                <w:b/>
                <w:color w:val="auto"/>
                <w:sz w:val="20"/>
                <w:szCs w:val="20"/>
                <w:highlight w:val="none"/>
              </w:rPr>
              <w:t>code rate x 1024</w:t>
            </w:r>
          </w:p>
        </w:tc>
        <w:tc>
          <w:tcPr>
            <w:tcW w:w="1116"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jc w:val="center"/>
              <w:rPr>
                <w:rFonts w:ascii="Times New Roman" w:hAnsi="Times New Roman"/>
                <w:b/>
                <w:color w:val="auto"/>
                <w:sz w:val="20"/>
                <w:szCs w:val="20"/>
                <w:highlight w:val="none"/>
              </w:rPr>
            </w:pPr>
            <w:r>
              <w:rPr>
                <w:rFonts w:hint="eastAsia" w:ascii="Times New Roman" w:hAnsi="Times New Roman"/>
                <w:b/>
                <w:color w:val="auto"/>
                <w:sz w:val="20"/>
                <w:szCs w:val="20"/>
                <w:highlight w:val="none"/>
              </w:rPr>
              <w:t>efficiency</w:t>
            </w:r>
          </w:p>
        </w:tc>
      </w:tr>
      <w:tr>
        <w:tblPrEx>
          <w:tblLayout w:type="fixed"/>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0</w:t>
            </w:r>
          </w:p>
        </w:tc>
        <w:tc>
          <w:tcPr>
            <w:tcW w:w="4105" w:type="dxa"/>
            <w:gridSpan w:val="3"/>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out of range</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78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0.1523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193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0.3770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449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0.8770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378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1.4766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490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1.9141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6</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16QAM </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616 </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2.4063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7</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466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2.7305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8</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567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3.3223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9</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64QAM </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666 </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3.9023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10</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772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4.5234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873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5.1152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711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5.5547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797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6.2266</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885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6.9141</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15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 972</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jc w:val="center"/>
              <w:rPr>
                <w:rFonts w:ascii="Times New Roman" w:hAnsi="Times New Roman"/>
                <w:bCs/>
                <w:color w:val="auto"/>
                <w:sz w:val="20"/>
                <w:szCs w:val="20"/>
                <w:highlight w:val="none"/>
              </w:rPr>
            </w:pPr>
            <w:r>
              <w:rPr>
                <w:rFonts w:hint="eastAsia" w:ascii="Times New Roman" w:hAnsi="Times New Roman"/>
                <w:bCs/>
                <w:color w:val="auto"/>
                <w:sz w:val="20"/>
                <w:szCs w:val="20"/>
                <w:highlight w:val="none"/>
              </w:rPr>
              <w:t xml:space="preserve"> 7.5938</w:t>
            </w:r>
          </w:p>
        </w:tc>
      </w:tr>
    </w:tbl>
    <w:p>
      <w:pPr>
        <w:rPr>
          <w:color w:val="auto"/>
          <w:highlight w:val="none"/>
        </w:rPr>
      </w:pPr>
    </w:p>
    <w:p>
      <w:pPr>
        <w:adjustRightInd w:val="0"/>
        <w:snapToGrid w:val="0"/>
        <w:spacing w:before="120" w:line="240" w:lineRule="auto"/>
        <w:jc w:val="center"/>
        <w:rPr>
          <w:color w:val="auto"/>
          <w:highlight w:val="none"/>
        </w:rPr>
      </w:pPr>
    </w:p>
    <w:p>
      <w:pPr>
        <w:adjustRightInd w:val="0"/>
        <w:snapToGrid w:val="0"/>
        <w:spacing w:before="120" w:line="240" w:lineRule="auto"/>
        <w:jc w:val="center"/>
        <w:rPr>
          <w:color w:val="auto"/>
          <w:highlight w:val="none"/>
        </w:rPr>
      </w:pPr>
      <w:r>
        <w:rPr>
          <w:color w:val="auto"/>
          <w:highlight w:val="none"/>
        </w:rPr>
        <w:drawing>
          <wp:inline distT="0" distB="0" distL="114300" distR="114300">
            <wp:extent cx="4080510" cy="3062605"/>
            <wp:effectExtent l="0" t="0" r="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6" cstate="print"/>
                    <a:stretch>
                      <a:fillRect/>
                    </a:stretch>
                  </pic:blipFill>
                  <pic:spPr>
                    <a:xfrm>
                      <a:off x="0" y="0"/>
                      <a:ext cx="4080510" cy="3062605"/>
                    </a:xfrm>
                    <a:prstGeom prst="rect">
                      <a:avLst/>
                    </a:prstGeom>
                    <a:noFill/>
                    <a:ln w="9525">
                      <a:noFill/>
                    </a:ln>
                  </pic:spPr>
                </pic:pic>
              </a:graphicData>
            </a:graphic>
          </wp:inline>
        </w:drawing>
      </w:r>
    </w:p>
    <w:p>
      <w:pPr>
        <w:adjustRightInd w:val="0"/>
        <w:snapToGrid w:val="0"/>
        <w:spacing w:before="120" w:line="240" w:lineRule="auto"/>
        <w:jc w:val="center"/>
        <w:rPr>
          <w:rFonts w:ascii="Times New Roman" w:hAnsi="Times New Roman" w:cs="Times New Roman"/>
          <w:color w:val="auto"/>
          <w:highlight w:val="none"/>
        </w:rPr>
      </w:pPr>
      <w:r>
        <w:rPr>
          <w:rFonts w:hint="default" w:ascii="Times New Roman" w:hAnsi="Times New Roman" w:cs="Times New Roman"/>
          <w:color w:val="auto"/>
          <w:highlight w:val="none"/>
        </w:rPr>
        <w:t>(a)</w:t>
      </w: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4073525" cy="305371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noChangeArrowheads="1"/>
                    </pic:cNvPicPr>
                  </pic:nvPicPr>
                  <pic:blipFill>
                    <a:blip r:embed="rId7" cstate="print"/>
                    <a:srcRect/>
                    <a:stretch>
                      <a:fillRect/>
                    </a:stretch>
                  </pic:blipFill>
                  <pic:spPr>
                    <a:xfrm>
                      <a:off x="0" y="0"/>
                      <a:ext cx="4073525" cy="3053715"/>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(b)</w:t>
      </w:r>
    </w:p>
    <w:p>
      <w:pPr>
        <w:adjustRightInd w:val="0"/>
        <w:snapToGrid w:val="0"/>
        <w:spacing w:before="120" w:line="240" w:lineRule="auto"/>
        <w:jc w:val="center"/>
        <w:rPr>
          <w:rFonts w:ascii="Times New Roman" w:hAnsi="宋体"/>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before="120" w:line="240" w:lineRule="auto"/>
        <w:jc w:val="center"/>
        <w:rPr>
          <w:rFonts w:ascii="Times New Roman" w:hAnsi="宋体"/>
          <w:color w:val="auto"/>
          <w:sz w:val="20"/>
          <w:szCs w:val="20"/>
          <w:highlight w:val="none"/>
        </w:rPr>
      </w:pPr>
    </w:p>
    <w:p>
      <w:pPr>
        <w:numPr>
          <w:ilvl w:val="0"/>
          <w:numId w:val="10"/>
        </w:numPr>
        <w:spacing w:before="120" w:after="0" w:line="240" w:lineRule="auto"/>
        <w:ind w:left="357" w:hanging="357"/>
        <w:jc w:val="both"/>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Discussion on NR MCS table</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w:t>
      </w:r>
      <w:r>
        <w:rPr>
          <w:rFonts w:ascii="Times New Roman" w:hAnsi="Times New Roman"/>
          <w:color w:val="auto"/>
          <w:sz w:val="20"/>
          <w:szCs w:val="20"/>
          <w:highlight w:val="none"/>
        </w:rPr>
        <w:t>wo separate 5 bit tables for 64QAM and 256QAM</w:t>
      </w:r>
      <w:r>
        <w:rPr>
          <w:rFonts w:hint="eastAsia" w:ascii="Times New Roman" w:hAnsi="Times New Roman"/>
          <w:color w:val="auto"/>
          <w:sz w:val="20"/>
          <w:szCs w:val="20"/>
          <w:highlight w:val="none"/>
        </w:rPr>
        <w:t xml:space="preserve"> are supported for </w:t>
      </w:r>
      <w:r>
        <w:rPr>
          <w:rFonts w:ascii="Times New Roman" w:hAnsi="Times New Roman"/>
          <w:color w:val="auto"/>
          <w:sz w:val="20"/>
          <w:szCs w:val="20"/>
          <w:highlight w:val="none"/>
        </w:rPr>
        <w:t>NR PDSCH MCS table</w:t>
      </w:r>
      <w:r>
        <w:rPr>
          <w:rFonts w:hint="eastAsia" w:ascii="Times New Roman" w:hAnsi="Times New Roman"/>
          <w:color w:val="auto"/>
          <w:sz w:val="20"/>
          <w:szCs w:val="20"/>
          <w:highlight w:val="none"/>
        </w:rPr>
        <w:t xml:space="preserve">, two </w:t>
      </w:r>
      <w:r>
        <w:rPr>
          <w:rFonts w:ascii="Times New Roman" w:hAnsi="Times New Roman"/>
          <w:color w:val="auto"/>
          <w:sz w:val="20"/>
          <w:szCs w:val="20"/>
          <w:highlight w:val="none"/>
        </w:rPr>
        <w:t>separate 5 bit tables for 64QAM and 256QAM</w:t>
      </w:r>
      <w:r>
        <w:rPr>
          <w:rFonts w:hint="eastAsia" w:ascii="Times New Roman" w:hAnsi="Times New Roman"/>
          <w:color w:val="auto"/>
          <w:sz w:val="20"/>
          <w:szCs w:val="20"/>
          <w:highlight w:val="none"/>
        </w:rPr>
        <w:t xml:space="preserve"> for </w:t>
      </w:r>
      <w:r>
        <w:rPr>
          <w:rFonts w:ascii="Times New Roman" w:hAnsi="Times New Roman"/>
          <w:color w:val="auto"/>
          <w:sz w:val="20"/>
          <w:szCs w:val="20"/>
          <w:highlight w:val="none"/>
        </w:rPr>
        <w:t>NR PUSCH MCS table in case of CP-OFDM</w:t>
      </w:r>
      <w:r>
        <w:rPr>
          <w:rFonts w:hint="eastAsia" w:ascii="Times New Roman" w:hAnsi="Times New Roman"/>
          <w:color w:val="auto"/>
          <w:sz w:val="20"/>
          <w:szCs w:val="20"/>
          <w:highlight w:val="none"/>
        </w:rPr>
        <w:t xml:space="preserve"> and two </w:t>
      </w:r>
      <w:r>
        <w:rPr>
          <w:rFonts w:ascii="Times New Roman" w:hAnsi="Times New Roman"/>
          <w:color w:val="auto"/>
          <w:sz w:val="20"/>
          <w:szCs w:val="20"/>
          <w:highlight w:val="none"/>
        </w:rPr>
        <w:t>separate 5 bit tables for 64QAM and 256QAM</w:t>
      </w:r>
      <w:r>
        <w:rPr>
          <w:rFonts w:hint="eastAsia" w:ascii="Times New Roman" w:hAnsi="Times New Roman"/>
          <w:color w:val="auto"/>
          <w:sz w:val="20"/>
          <w:szCs w:val="20"/>
          <w:highlight w:val="none"/>
        </w:rPr>
        <w:t xml:space="preserve"> for </w:t>
      </w:r>
      <w:r>
        <w:rPr>
          <w:rFonts w:ascii="Times New Roman" w:hAnsi="Times New Roman"/>
          <w:color w:val="auto"/>
          <w:sz w:val="20"/>
          <w:szCs w:val="20"/>
          <w:highlight w:val="none"/>
        </w:rPr>
        <w:t xml:space="preserve">NR PUSCH MCS table in case of </w:t>
      </w:r>
      <w:r>
        <w:rPr>
          <w:rFonts w:hint="eastAsia" w:ascii="Times New Roman" w:hAnsi="Times New Roman"/>
          <w:color w:val="auto"/>
          <w:sz w:val="20"/>
          <w:szCs w:val="20"/>
          <w:highlight w:val="none"/>
        </w:rPr>
        <w:t xml:space="preserve">DFT-s-OFDM. The transmitting power and receiver process ability of UE are different from that of gNB, so the two MCS table for NR PDSCH should be different from the two MCS table for NR PUSCH. Due to including the pi/2 BPSK modulation order, the two MCS table for NR PUSCH in </w:t>
      </w:r>
      <w:r>
        <w:rPr>
          <w:rFonts w:ascii="Times New Roman" w:hAnsi="Times New Roman"/>
          <w:color w:val="auto"/>
          <w:sz w:val="20"/>
          <w:szCs w:val="20"/>
          <w:highlight w:val="none"/>
        </w:rPr>
        <w:t xml:space="preserve">case of </w:t>
      </w:r>
      <w:r>
        <w:rPr>
          <w:rFonts w:hint="eastAsia" w:ascii="Times New Roman" w:hAnsi="Times New Roman"/>
          <w:color w:val="auto"/>
          <w:sz w:val="20"/>
          <w:szCs w:val="20"/>
          <w:highlight w:val="none"/>
        </w:rPr>
        <w:t xml:space="preserve">DFT-s-OFDM should be different from the two in </w:t>
      </w:r>
      <w:r>
        <w:rPr>
          <w:rFonts w:ascii="Times New Roman" w:hAnsi="Times New Roman"/>
          <w:color w:val="auto"/>
          <w:sz w:val="20"/>
          <w:szCs w:val="20"/>
          <w:highlight w:val="none"/>
        </w:rPr>
        <w:t>case of CP-OFDM</w:t>
      </w:r>
      <w:r>
        <w:rPr>
          <w:rFonts w:hint="eastAsia" w:ascii="Times New Roman" w:hAnsi="Times New Roman"/>
          <w:color w:val="auto"/>
          <w:sz w:val="20"/>
          <w:szCs w:val="20"/>
          <w:highlight w:val="none"/>
        </w:rPr>
        <w:t xml:space="preserve">. So there are six separate 5 bit tables altogether to be discussed for eMBB. </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TBS index in MCS table can be better to use for some service scenarios for example VOIP where some special long TBSs are needed and the TBS formula can not satisfy the requirement. Detailed analysis of TBS indication for VOIP is given in our companion contribution </w:t>
      </w:r>
      <w:r>
        <w:rPr>
          <w:rFonts w:ascii="Times New Roman" w:hAnsi="Times New Roman"/>
          <w:color w:val="auto"/>
          <w:sz w:val="20"/>
          <w:szCs w:val="20"/>
          <w:highlight w:val="none"/>
        </w:rPr>
        <w:t>[</w:t>
      </w:r>
      <w:r>
        <w:rPr>
          <w:rFonts w:hint="eastAsia" w:ascii="Times New Roman" w:hAnsi="Times New Roman"/>
          <w:color w:val="auto"/>
          <w:sz w:val="20"/>
          <w:szCs w:val="20"/>
          <w:highlight w:val="none"/>
          <w:lang w:eastAsia="zh-CN"/>
        </w:rPr>
        <w:t>8</w:t>
      </w:r>
      <w:r>
        <w:rPr>
          <w:rFonts w:ascii="Times New Roman" w:hAnsi="Times New Roman"/>
          <w:color w:val="auto"/>
          <w:sz w:val="20"/>
          <w:szCs w:val="20"/>
          <w:highlight w:val="none"/>
        </w:rPr>
        <w:t>]</w:t>
      </w:r>
      <w:r>
        <w:rPr>
          <w:rFonts w:hint="eastAsia" w:ascii="Times New Roman" w:hAnsi="Times New Roman"/>
          <w:color w:val="auto"/>
          <w:sz w:val="20"/>
          <w:szCs w:val="20"/>
          <w:highlight w:val="none"/>
          <w:lang w:val="en-US" w:eastAsia="zh-CN"/>
        </w:rPr>
        <w:t>[9]</w:t>
      </w:r>
      <w:r>
        <w:rPr>
          <w:rFonts w:hint="eastAsia" w:ascii="Times New Roman" w:hAnsi="Times New Roman"/>
          <w:color w:val="auto"/>
          <w:sz w:val="20"/>
          <w:szCs w:val="20"/>
          <w:highlight w:val="none"/>
        </w:rPr>
        <w:t xml:space="preserve">. We suggest TBS index  field be used again in MCS table in addition to </w:t>
      </w:r>
      <w:r>
        <w:rPr>
          <w:rFonts w:ascii="Times New Roman" w:hAnsi="Times New Roman"/>
          <w:color w:val="auto"/>
          <w:sz w:val="20"/>
          <w:szCs w:val="20"/>
          <w:highlight w:val="none"/>
        </w:rPr>
        <w:t>MCS index</w:t>
      </w:r>
      <w:r>
        <w:rPr>
          <w:rFonts w:hint="eastAsia" w:ascii="Times New Roman" w:hAnsi="Times New Roman"/>
          <w:color w:val="auto"/>
          <w:sz w:val="20"/>
          <w:szCs w:val="20"/>
          <w:highlight w:val="none"/>
        </w:rPr>
        <w:t>,</w:t>
      </w:r>
      <w:r>
        <w:rPr>
          <w:rFonts w:ascii="Times New Roman" w:hAnsi="Times New Roman"/>
          <w:color w:val="auto"/>
          <w:sz w:val="20"/>
          <w:szCs w:val="20"/>
          <w:highlight w:val="none"/>
        </w:rPr>
        <w:t xml:space="preserve"> a corresponding modulation order and target code rate x [1024]</w:t>
      </w:r>
      <w:r>
        <w:rPr>
          <w:rFonts w:hint="eastAsia" w:ascii="Times New Roman" w:hAnsi="Times New Roman"/>
          <w:color w:val="auto"/>
          <w:sz w:val="20"/>
          <w:szCs w:val="20"/>
          <w:highlight w:val="none"/>
        </w:rPr>
        <w:t>.</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b/>
          <w:bCs/>
          <w:i/>
          <w:iCs/>
          <w:color w:val="auto"/>
          <w:sz w:val="20"/>
          <w:szCs w:val="20"/>
          <w:highlight w:val="none"/>
        </w:rPr>
        <w:t>Proposal 3</w:t>
      </w:r>
      <w:r>
        <w:rPr>
          <w:rFonts w:hint="eastAsia" w:ascii="Times New Roman" w:hAnsi="Times New Roman"/>
          <w:i/>
          <w:iCs/>
          <w:color w:val="auto"/>
          <w:sz w:val="20"/>
          <w:szCs w:val="20"/>
          <w:highlight w:val="none"/>
        </w:rPr>
        <w:t xml:space="preserve">:TBS index field is added as a forth column in MCS table in addition to the following fields: </w:t>
      </w:r>
      <w:r>
        <w:rPr>
          <w:rFonts w:ascii="Times New Roman" w:hAnsi="Times New Roman"/>
          <w:i/>
          <w:iCs/>
          <w:color w:val="auto"/>
          <w:sz w:val="20"/>
          <w:szCs w:val="20"/>
          <w:highlight w:val="none"/>
        </w:rPr>
        <w:t>MCS index</w:t>
      </w:r>
      <w:r>
        <w:rPr>
          <w:rFonts w:hint="eastAsia" w:ascii="Times New Roman" w:hAnsi="Times New Roman"/>
          <w:i/>
          <w:iCs/>
          <w:color w:val="auto"/>
          <w:sz w:val="20"/>
          <w:szCs w:val="20"/>
          <w:highlight w:val="none"/>
        </w:rPr>
        <w:t>,</w:t>
      </w:r>
      <w:r>
        <w:rPr>
          <w:rFonts w:ascii="Times New Roman" w:hAnsi="Times New Roman"/>
          <w:i/>
          <w:iCs/>
          <w:color w:val="auto"/>
          <w:sz w:val="20"/>
          <w:szCs w:val="20"/>
          <w:highlight w:val="none"/>
        </w:rPr>
        <w:t xml:space="preserve"> a corresponding modulation order and target code rate x [1024]</w:t>
      </w:r>
      <w:r>
        <w:rPr>
          <w:rFonts w:hint="eastAsia" w:ascii="Times New Roman" w:hAnsi="Times New Roman"/>
          <w:i/>
          <w:iCs/>
          <w:color w:val="auto"/>
          <w:sz w:val="20"/>
          <w:szCs w:val="20"/>
          <w:highlight w:val="none"/>
        </w:rPr>
        <w:t>.</w:t>
      </w:r>
    </w:p>
    <w:p>
      <w:pPr>
        <w:adjustRightInd w:val="0"/>
        <w:snapToGrid w:val="0"/>
        <w:spacing w:before="120" w:line="240" w:lineRule="auto"/>
        <w:jc w:val="both"/>
        <w:outlineLvl w:val="1"/>
        <w:rPr>
          <w:rFonts w:ascii="Times New Roman" w:hAnsi="Times New Roman"/>
          <w:b/>
          <w:color w:val="auto"/>
          <w:sz w:val="24"/>
          <w:szCs w:val="24"/>
          <w:highlight w:val="none"/>
        </w:rPr>
      </w:pPr>
      <w:r>
        <w:rPr>
          <w:rFonts w:hint="eastAsia" w:ascii="Times New Roman" w:hAnsi="Times New Roman"/>
          <w:b/>
          <w:color w:val="auto"/>
          <w:sz w:val="24"/>
          <w:szCs w:val="24"/>
          <w:highlight w:val="none"/>
        </w:rPr>
        <w:t xml:space="preserve">3.1 Discussion on MCS table for </w:t>
      </w:r>
      <w:r>
        <w:rPr>
          <w:rFonts w:ascii="Times New Roman" w:hAnsi="Times New Roman"/>
          <w:b/>
          <w:color w:val="auto"/>
          <w:sz w:val="24"/>
          <w:szCs w:val="24"/>
          <w:highlight w:val="none"/>
        </w:rPr>
        <w:t>NR PDSCH</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is the MCS table up to 64QAM of LTE adding the code rate and SE columns. These values of SE column are from the CQI table up to 64QAM of LTE Rel-8 and the average operation between the last and the next existing SE values. These values of code rate column are calculated out by the SE and modulation order. According to the table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gives the simulation results of the SNR/efficiency respectively using Turbo and LDPC code. We can find that the SNR/efficiency points of LDPC are similar to that of Turbo and only the similar offsets are between the both. Further, as CQI table for 64QAM is reused from LTE. We don</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xml:space="preserve">t see the necessity of designing a new DL MCS table for up to 64QAM. So we suggest the all entries of table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to be used for the MCS table up to 64QAM for NR PDSCH.</w:t>
      </w:r>
      <w:r>
        <w:rPr>
          <w:rFonts w:hint="eastAsia" w:ascii="Times New Roman" w:hAnsi="Times New Roman"/>
          <w:color w:val="auto"/>
          <w:sz w:val="20"/>
          <w:szCs w:val="20"/>
          <w:highlight w:val="none"/>
          <w:lang w:val="en-US" w:eastAsia="zh-CN"/>
        </w:rPr>
        <w:t xml:space="preserve"> Similar as LTE, the last three indices are reserved for modulation order indication. Note that in the following MCS tables, the value of TBS indices, marked in gray, are just for information. The exact associated TBS index for each MCS index depends on the discussion and outcome of TBS design for VOIP.</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4:</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64QAM for LTE PDSCH is reused for NR PDSCH.</w:t>
      </w:r>
    </w:p>
    <w:p>
      <w:pPr>
        <w:numPr>
          <w:ilvl w:val="0"/>
          <w:numId w:val="12"/>
        </w:numPr>
        <w:adjustRightInd w:val="0"/>
        <w:snapToGrid w:val="0"/>
        <w:spacing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 xml:space="preserve"> The code rate x 1024 column is added with values implying the same efficiency as LTE</w:t>
      </w:r>
      <w:r>
        <w:rPr>
          <w:rFonts w:hint="eastAsia" w:ascii="Times New Roman" w:hAnsi="Times New Roman"/>
          <w:color w:val="auto"/>
          <w:sz w:val="20"/>
          <w:szCs w:val="20"/>
          <w:highlight w:val="none"/>
        </w:rPr>
        <w:t>.</w:t>
      </w: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3</w:t>
      </w:r>
      <w:r>
        <w:rPr>
          <w:rFonts w:hint="eastAsia" w:ascii="Times New Roman" w:hAnsi="Times New Roman"/>
          <w:color w:val="auto"/>
          <w:sz w:val="20"/>
          <w:szCs w:val="20"/>
          <w:highlight w:val="none"/>
        </w:rPr>
        <w:t xml:space="preserve"> MCS Table for up to 64QAM for NR PDSCH</w:t>
      </w:r>
    </w:p>
    <w:p>
      <w:pPr>
        <w:jc w:val="center"/>
        <w:rPr>
          <w:rFonts w:ascii="Times New Roman" w:hAnsi="Times New Roman"/>
          <w:color w:val="auto"/>
          <w:sz w:val="20"/>
          <w:szCs w:val="20"/>
          <w:highlight w:val="none"/>
        </w:rPr>
      </w:pPr>
    </w:p>
    <w:tbl>
      <w:tblPr>
        <w:tblStyle w:val="21"/>
        <w:tblW w:w="8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532"/>
        <w:gridCol w:w="1427"/>
        <w:gridCol w:w="1084"/>
        <w:gridCol w:w="1059"/>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bottom w:val="double" w:color="auto" w:sz="4" w:space="0"/>
              <w:right w:val="double" w:color="auto" w:sz="4" w:space="0"/>
            </w:tcBorders>
            <w:shd w:val="clear" w:color="auto" w:fill="E0E0E0"/>
            <w:vAlign w:val="center"/>
          </w:tcPr>
          <w:p>
            <w:pPr>
              <w:pStyle w:val="33"/>
              <w:rPr>
                <w:bCs/>
                <w:color w:val="auto"/>
                <w:highlight w:val="none"/>
              </w:rPr>
            </w:pPr>
            <w:r>
              <w:rPr>
                <w:bCs/>
                <w:color w:val="auto"/>
                <w:highlight w:val="none"/>
              </w:rPr>
              <w:t>MCS Index</w:t>
            </w:r>
            <w:r>
              <w:rPr>
                <w:bCs/>
                <w:color w:val="auto"/>
                <w:highlight w:val="none"/>
              </w:rPr>
              <w:br w:type="textWrapping"/>
            </w:r>
            <w:r>
              <w:rPr>
                <w:color w:val="auto"/>
                <w:highlight w:val="none"/>
              </w:rPr>
              <w:object>
                <v:shape id="_x0000_i1025"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532" w:type="dxa"/>
            <w:tcBorders>
              <w:left w:val="double" w:color="auto" w:sz="4" w:space="0"/>
              <w:bottom w:val="double" w:color="auto" w:sz="4" w:space="0"/>
            </w:tcBorders>
            <w:shd w:val="clear" w:color="auto" w:fill="E0E0E0"/>
            <w:vAlign w:val="center"/>
          </w:tcPr>
          <w:p>
            <w:pPr>
              <w:pStyle w:val="33"/>
              <w:rPr>
                <w:bCs/>
                <w:color w:val="auto"/>
                <w:highlight w:val="none"/>
              </w:rPr>
            </w:pPr>
            <w:r>
              <w:rPr>
                <w:bCs/>
                <w:color w:val="auto"/>
                <w:highlight w:val="none"/>
              </w:rPr>
              <w:t>Modulation Order</w:t>
            </w:r>
            <w:r>
              <w:rPr>
                <w:bCs/>
                <w:color w:val="auto"/>
                <w:highlight w:val="none"/>
              </w:rPr>
              <w:br w:type="textWrapping"/>
            </w:r>
            <w:r>
              <w:rPr>
                <w:bCs/>
                <w:color w:val="auto"/>
                <w:highlight w:val="none"/>
                <w:lang w:val="pt-BR"/>
              </w:rPr>
              <w:object>
                <v:shape id="_x0000_i1026"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1427" w:type="dxa"/>
            <w:tcBorders>
              <w:bottom w:val="double" w:color="auto" w:sz="4" w:space="0"/>
            </w:tcBorders>
            <w:shd w:val="clear" w:color="auto" w:fill="E0E0E0"/>
            <w:vAlign w:val="center"/>
          </w:tcPr>
          <w:p>
            <w:pPr>
              <w:pStyle w:val="33"/>
              <w:rPr>
                <w:bCs/>
                <w:color w:val="auto"/>
                <w:highlight w:val="none"/>
              </w:rPr>
            </w:pPr>
            <w:r>
              <w:rPr>
                <w:color w:val="auto"/>
                <w:highlight w:val="none"/>
              </w:rPr>
              <w:t>code rate x 1024</w:t>
            </w:r>
          </w:p>
        </w:tc>
        <w:tc>
          <w:tcPr>
            <w:tcW w:w="1084" w:type="dxa"/>
            <w:tcBorders>
              <w:bottom w:val="double" w:color="auto" w:sz="4" w:space="0"/>
            </w:tcBorders>
            <w:shd w:val="clear" w:color="auto" w:fill="E0E0E0"/>
            <w:vAlign w:val="center"/>
          </w:tcPr>
          <w:p>
            <w:pPr>
              <w:pStyle w:val="33"/>
              <w:rPr>
                <w:bCs/>
                <w:color w:val="A5A5A5" w:themeColor="background1" w:themeShade="A6"/>
                <w:highlight w:val="none"/>
              </w:rPr>
            </w:pPr>
            <w:r>
              <w:rPr>
                <w:bCs/>
                <w:color w:val="A5A5A5" w:themeColor="background1" w:themeShade="A6"/>
                <w:highlight w:val="none"/>
              </w:rPr>
              <w:t>TBS Index</w:t>
            </w:r>
            <w:r>
              <w:rPr>
                <w:bCs/>
                <w:color w:val="A5A5A5" w:themeColor="background1" w:themeShade="A6"/>
                <w:highlight w:val="none"/>
              </w:rPr>
              <w:br w:type="textWrapping"/>
            </w:r>
            <w:r>
              <w:rPr>
                <w:color w:val="A5A5A5" w:themeColor="background1" w:themeShade="A6"/>
                <w:highlight w:val="none"/>
              </w:rPr>
              <w:object>
                <v:shape id="_x0000_i1027"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059" w:type="dxa"/>
            <w:tcBorders>
              <w:bottom w:val="double" w:color="auto" w:sz="4" w:space="0"/>
            </w:tcBorders>
            <w:shd w:val="clear" w:color="auto" w:fill="E0E0E0"/>
            <w:vAlign w:val="center"/>
          </w:tcPr>
          <w:p>
            <w:pPr>
              <w:pStyle w:val="33"/>
              <w:rPr>
                <w:rFonts w:eastAsia="宋体"/>
                <w:bCs/>
                <w:color w:val="auto"/>
                <w:highlight w:val="none"/>
                <w:lang w:val="en-US" w:eastAsia="zh-CN"/>
              </w:rPr>
            </w:pPr>
            <w:r>
              <w:rPr>
                <w:rFonts w:hint="eastAsia" w:eastAsia="宋体"/>
                <w:bCs/>
                <w:color w:val="auto"/>
                <w:highlight w:val="none"/>
                <w:lang w:val="en-US" w:eastAsia="zh-CN"/>
              </w:rPr>
              <w:t>efficiency</w:t>
            </w:r>
          </w:p>
        </w:tc>
        <w:tc>
          <w:tcPr>
            <w:tcW w:w="2057" w:type="dxa"/>
            <w:tcBorders>
              <w:bottom w:val="double" w:color="auto" w:sz="4" w:space="0"/>
            </w:tcBorders>
            <w:shd w:val="clear" w:color="auto" w:fill="E0E0E0"/>
            <w:vAlign w:val="center"/>
          </w:tcPr>
          <w:p>
            <w:pPr>
              <w:pStyle w:val="33"/>
              <w:rPr>
                <w:rFonts w:eastAsia="宋体"/>
                <w:bCs/>
                <w:color w:val="auto"/>
                <w:highlight w:val="none"/>
                <w:lang w:val="en-US" w:eastAsia="zh-CN"/>
              </w:rPr>
            </w:pPr>
            <w:r>
              <w:rPr>
                <w:rFonts w:hint="eastAsia" w:eastAsia="宋体"/>
                <w:bCs/>
                <w:color w:val="auto"/>
                <w:highlight w:val="none"/>
                <w:lang w:val="en-US" w:eastAsia="zh-CN"/>
              </w:rPr>
              <w:t>Comments for 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top w:val="double" w:color="auto" w:sz="4" w:space="0"/>
              <w:right w:val="double" w:color="auto" w:sz="4" w:space="0"/>
            </w:tcBorders>
            <w:shd w:val="clear" w:color="auto" w:fill="auto"/>
            <w:vAlign w:val="center"/>
          </w:tcPr>
          <w:p>
            <w:pPr>
              <w:pStyle w:val="34"/>
              <w:rPr>
                <w:b/>
                <w:color w:val="auto"/>
                <w:highlight w:val="none"/>
              </w:rPr>
            </w:pPr>
            <w:r>
              <w:rPr>
                <w:b/>
                <w:color w:val="auto"/>
                <w:highlight w:val="none"/>
              </w:rPr>
              <w:t>0</w:t>
            </w:r>
          </w:p>
        </w:tc>
        <w:tc>
          <w:tcPr>
            <w:tcW w:w="1532" w:type="dxa"/>
            <w:tcBorders>
              <w:top w:val="double" w:color="auto" w:sz="4" w:space="0"/>
              <w:left w:val="double" w:color="auto" w:sz="4" w:space="0"/>
            </w:tcBorders>
            <w:vAlign w:val="center"/>
          </w:tcPr>
          <w:p>
            <w:pPr>
              <w:pStyle w:val="34"/>
              <w:rPr>
                <w:color w:val="auto"/>
                <w:highlight w:val="none"/>
              </w:rPr>
            </w:pPr>
            <w:r>
              <w:rPr>
                <w:color w:val="auto"/>
                <w:highlight w:val="none"/>
              </w:rPr>
              <w:t>2</w:t>
            </w:r>
          </w:p>
        </w:tc>
        <w:tc>
          <w:tcPr>
            <w:tcW w:w="1427" w:type="dxa"/>
            <w:tcBorders>
              <w:top w:val="double" w:color="auto" w:sz="4" w:space="0"/>
            </w:tcBorders>
          </w:tcPr>
          <w:p>
            <w:pPr>
              <w:pStyle w:val="34"/>
              <w:rPr>
                <w:color w:val="auto"/>
                <w:highlight w:val="none"/>
              </w:rPr>
            </w:pPr>
            <w:r>
              <w:rPr>
                <w:rFonts w:hint="eastAsia"/>
                <w:color w:val="auto"/>
                <w:highlight w:val="none"/>
              </w:rPr>
              <w:t>120</w:t>
            </w:r>
          </w:p>
        </w:tc>
        <w:tc>
          <w:tcPr>
            <w:tcW w:w="1084" w:type="dxa"/>
            <w:tcBorders>
              <w:top w:val="double" w:color="auto" w:sz="4" w:space="0"/>
            </w:tcBorders>
            <w:vAlign w:val="center"/>
          </w:tcPr>
          <w:p>
            <w:pPr>
              <w:pStyle w:val="34"/>
              <w:rPr>
                <w:color w:val="A5A5A5" w:themeColor="background1" w:themeShade="A6"/>
                <w:highlight w:val="none"/>
              </w:rPr>
            </w:pPr>
            <w:r>
              <w:rPr>
                <w:color w:val="A5A5A5" w:themeColor="background1" w:themeShade="A6"/>
                <w:highlight w:val="none"/>
              </w:rPr>
              <w:t>0</w:t>
            </w:r>
          </w:p>
        </w:tc>
        <w:tc>
          <w:tcPr>
            <w:tcW w:w="1059" w:type="dxa"/>
            <w:tcBorders>
              <w:top w:val="double" w:color="auto" w:sz="4" w:space="0"/>
            </w:tcBorders>
            <w:vAlign w:val="center"/>
          </w:tcPr>
          <w:p>
            <w:pPr>
              <w:pStyle w:val="34"/>
              <w:rPr>
                <w:color w:val="auto"/>
                <w:highlight w:val="none"/>
              </w:rPr>
            </w:pPr>
            <w:r>
              <w:rPr>
                <w:color w:val="auto"/>
                <w:highlight w:val="none"/>
              </w:rPr>
              <w:t>0.2344</w:t>
            </w:r>
          </w:p>
        </w:tc>
        <w:tc>
          <w:tcPr>
            <w:tcW w:w="2057" w:type="dxa"/>
            <w:tcBorders>
              <w:top w:val="double" w:color="auto" w:sz="4" w:space="0"/>
            </w:tcBorders>
            <w:vAlign w:val="center"/>
          </w:tcPr>
          <w:p>
            <w:pPr>
              <w:pStyle w:val="34"/>
              <w:rPr>
                <w:rFonts w:eastAsia="宋体"/>
                <w:color w:val="auto"/>
                <w:highlight w:val="none"/>
                <w:lang w:val="en-US" w:eastAsia="zh-CN"/>
              </w:rPr>
            </w:pPr>
            <w:r>
              <w:rPr>
                <w:rFonts w:hint="eastAsia" w:eastAsia="宋体"/>
                <w:color w:val="auto"/>
                <w:highlight w:val="none"/>
                <w:lang w:val="en-US" w:eastAsia="zh-CN"/>
              </w:rPr>
              <w:t>CQI2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15</w:t>
            </w:r>
            <w:r>
              <w:rPr>
                <w:rFonts w:hint="eastAsia" w:eastAsia="宋体"/>
                <w:color w:val="auto"/>
                <w:highlight w:val="none"/>
                <w:lang w:val="en-US" w:eastAsia="zh-CN"/>
              </w:rPr>
              <w:t>7</w:t>
            </w:r>
          </w:p>
        </w:tc>
        <w:tc>
          <w:tcPr>
            <w:tcW w:w="1084" w:type="dxa"/>
            <w:vAlign w:val="center"/>
          </w:tcPr>
          <w:p>
            <w:pPr>
              <w:pStyle w:val="34"/>
              <w:rPr>
                <w:color w:val="A5A5A5" w:themeColor="background1" w:themeShade="A6"/>
                <w:highlight w:val="none"/>
              </w:rPr>
            </w:pPr>
            <w:r>
              <w:rPr>
                <w:color w:val="A5A5A5" w:themeColor="background1" w:themeShade="A6"/>
                <w:highlight w:val="none"/>
              </w:rPr>
              <w:t>1</w:t>
            </w:r>
          </w:p>
        </w:tc>
        <w:tc>
          <w:tcPr>
            <w:tcW w:w="1059" w:type="dxa"/>
            <w:vAlign w:val="center"/>
          </w:tcPr>
          <w:p>
            <w:pPr>
              <w:pStyle w:val="34"/>
              <w:rPr>
                <w:rFonts w:eastAsia="宋体"/>
                <w:color w:val="auto"/>
                <w:highlight w:val="none"/>
                <w:lang w:val="en-US" w:eastAsia="zh-CN"/>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193</w:t>
            </w:r>
          </w:p>
        </w:tc>
        <w:tc>
          <w:tcPr>
            <w:tcW w:w="1084" w:type="dxa"/>
            <w:vAlign w:val="center"/>
          </w:tcPr>
          <w:p>
            <w:pPr>
              <w:pStyle w:val="34"/>
              <w:rPr>
                <w:color w:val="A5A5A5" w:themeColor="background1" w:themeShade="A6"/>
                <w:highlight w:val="none"/>
              </w:rPr>
            </w:pPr>
            <w:r>
              <w:rPr>
                <w:color w:val="A5A5A5" w:themeColor="background1" w:themeShade="A6"/>
                <w:highlight w:val="none"/>
              </w:rPr>
              <w:t>2</w:t>
            </w:r>
          </w:p>
        </w:tc>
        <w:tc>
          <w:tcPr>
            <w:tcW w:w="1059" w:type="dxa"/>
            <w:vAlign w:val="center"/>
          </w:tcPr>
          <w:p>
            <w:pPr>
              <w:pStyle w:val="34"/>
              <w:rPr>
                <w:color w:val="auto"/>
                <w:highlight w:val="none"/>
              </w:rPr>
            </w:pPr>
            <w:r>
              <w:rPr>
                <w:color w:val="auto"/>
                <w:highlight w:val="none"/>
              </w:rPr>
              <w:t>0.3770</w:t>
            </w:r>
          </w:p>
        </w:tc>
        <w:tc>
          <w:tcPr>
            <w:tcW w:w="2057" w:type="dxa"/>
            <w:vAlign w:val="center"/>
          </w:tcPr>
          <w:p>
            <w:pPr>
              <w:pStyle w:val="34"/>
              <w:rPr>
                <w:color w:val="auto"/>
                <w:highlight w:val="none"/>
              </w:rPr>
            </w:pPr>
            <w:r>
              <w:rPr>
                <w:rFonts w:hint="eastAsia" w:eastAsia="宋体"/>
                <w:color w:val="auto"/>
                <w:highlight w:val="none"/>
                <w:lang w:val="en-US" w:eastAsia="zh-CN"/>
              </w:rPr>
              <w:t>CQI3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3</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25</w:t>
            </w:r>
            <w:r>
              <w:rPr>
                <w:rFonts w:hint="eastAsia" w:eastAsia="宋体"/>
                <w:color w:val="auto"/>
                <w:highlight w:val="none"/>
                <w:lang w:val="en-US" w:eastAsia="zh-CN"/>
              </w:rPr>
              <w:t>1</w:t>
            </w:r>
          </w:p>
        </w:tc>
        <w:tc>
          <w:tcPr>
            <w:tcW w:w="1084" w:type="dxa"/>
            <w:vAlign w:val="center"/>
          </w:tcPr>
          <w:p>
            <w:pPr>
              <w:pStyle w:val="34"/>
              <w:rPr>
                <w:color w:val="A5A5A5" w:themeColor="background1" w:themeShade="A6"/>
                <w:highlight w:val="none"/>
              </w:rPr>
            </w:pPr>
            <w:r>
              <w:rPr>
                <w:color w:val="A5A5A5" w:themeColor="background1" w:themeShade="A6"/>
                <w:highlight w:val="none"/>
              </w:rPr>
              <w:t>3</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4</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308</w:t>
            </w:r>
          </w:p>
        </w:tc>
        <w:tc>
          <w:tcPr>
            <w:tcW w:w="1084" w:type="dxa"/>
            <w:vAlign w:val="center"/>
          </w:tcPr>
          <w:p>
            <w:pPr>
              <w:pStyle w:val="34"/>
              <w:rPr>
                <w:color w:val="A5A5A5" w:themeColor="background1" w:themeShade="A6"/>
                <w:highlight w:val="none"/>
              </w:rPr>
            </w:pPr>
            <w:r>
              <w:rPr>
                <w:color w:val="A5A5A5" w:themeColor="background1" w:themeShade="A6"/>
                <w:highlight w:val="none"/>
              </w:rPr>
              <w:t>4</w:t>
            </w:r>
          </w:p>
        </w:tc>
        <w:tc>
          <w:tcPr>
            <w:tcW w:w="1059" w:type="dxa"/>
            <w:vAlign w:val="center"/>
          </w:tcPr>
          <w:p>
            <w:pPr>
              <w:pStyle w:val="34"/>
              <w:rPr>
                <w:color w:val="auto"/>
                <w:highlight w:val="none"/>
              </w:rPr>
            </w:pPr>
            <w:r>
              <w:rPr>
                <w:color w:val="auto"/>
                <w:highlight w:val="none"/>
              </w:rPr>
              <w:t>0.6016</w:t>
            </w:r>
          </w:p>
        </w:tc>
        <w:tc>
          <w:tcPr>
            <w:tcW w:w="2057" w:type="dxa"/>
            <w:vAlign w:val="center"/>
          </w:tcPr>
          <w:p>
            <w:pPr>
              <w:pStyle w:val="34"/>
              <w:rPr>
                <w:color w:val="auto"/>
                <w:highlight w:val="none"/>
              </w:rPr>
            </w:pPr>
            <w:r>
              <w:rPr>
                <w:rFonts w:hint="eastAsia" w:eastAsia="宋体"/>
                <w:color w:val="auto"/>
                <w:highlight w:val="none"/>
                <w:lang w:val="en-US" w:eastAsia="zh-CN"/>
              </w:rPr>
              <w:t>CQI4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5</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37</w:t>
            </w:r>
            <w:r>
              <w:rPr>
                <w:rFonts w:hint="eastAsia" w:eastAsia="宋体"/>
                <w:color w:val="auto"/>
                <w:highlight w:val="none"/>
                <w:lang w:val="en-US" w:eastAsia="zh-CN"/>
              </w:rPr>
              <w:t>9</w:t>
            </w:r>
          </w:p>
        </w:tc>
        <w:tc>
          <w:tcPr>
            <w:tcW w:w="1084" w:type="dxa"/>
            <w:vAlign w:val="center"/>
          </w:tcPr>
          <w:p>
            <w:pPr>
              <w:pStyle w:val="34"/>
              <w:rPr>
                <w:color w:val="A5A5A5" w:themeColor="background1" w:themeShade="A6"/>
                <w:highlight w:val="none"/>
              </w:rPr>
            </w:pPr>
            <w:r>
              <w:rPr>
                <w:color w:val="A5A5A5" w:themeColor="background1" w:themeShade="A6"/>
                <w:highlight w:val="none"/>
              </w:rPr>
              <w:t>5</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6</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449</w:t>
            </w:r>
          </w:p>
        </w:tc>
        <w:tc>
          <w:tcPr>
            <w:tcW w:w="1084" w:type="dxa"/>
            <w:vAlign w:val="center"/>
          </w:tcPr>
          <w:p>
            <w:pPr>
              <w:pStyle w:val="34"/>
              <w:rPr>
                <w:color w:val="A5A5A5" w:themeColor="background1" w:themeShade="A6"/>
                <w:highlight w:val="none"/>
              </w:rPr>
            </w:pPr>
            <w:r>
              <w:rPr>
                <w:color w:val="A5A5A5" w:themeColor="background1" w:themeShade="A6"/>
                <w:highlight w:val="none"/>
              </w:rPr>
              <w:t>6</w:t>
            </w:r>
          </w:p>
        </w:tc>
        <w:tc>
          <w:tcPr>
            <w:tcW w:w="1059" w:type="dxa"/>
            <w:vAlign w:val="center"/>
          </w:tcPr>
          <w:p>
            <w:pPr>
              <w:pStyle w:val="34"/>
              <w:rPr>
                <w:color w:val="auto"/>
                <w:highlight w:val="none"/>
              </w:rPr>
            </w:pPr>
            <w:r>
              <w:rPr>
                <w:color w:val="auto"/>
                <w:highlight w:val="none"/>
              </w:rPr>
              <w:t>0.8770</w:t>
            </w:r>
          </w:p>
        </w:tc>
        <w:tc>
          <w:tcPr>
            <w:tcW w:w="2057" w:type="dxa"/>
            <w:vAlign w:val="center"/>
          </w:tcPr>
          <w:p>
            <w:pPr>
              <w:pStyle w:val="34"/>
              <w:rPr>
                <w:color w:val="auto"/>
                <w:highlight w:val="none"/>
              </w:rPr>
            </w:pPr>
            <w:r>
              <w:rPr>
                <w:rFonts w:hint="eastAsia" w:eastAsia="宋体"/>
                <w:color w:val="auto"/>
                <w:highlight w:val="none"/>
                <w:lang w:val="en-US" w:eastAsia="zh-CN"/>
              </w:rPr>
              <w:t>CQI5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7</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52</w:t>
            </w:r>
            <w:r>
              <w:rPr>
                <w:rFonts w:hint="eastAsia" w:eastAsia="宋体"/>
                <w:color w:val="auto"/>
                <w:highlight w:val="none"/>
                <w:lang w:val="en-US" w:eastAsia="zh-CN"/>
              </w:rPr>
              <w:t>6</w:t>
            </w:r>
          </w:p>
        </w:tc>
        <w:tc>
          <w:tcPr>
            <w:tcW w:w="1084" w:type="dxa"/>
            <w:vAlign w:val="center"/>
          </w:tcPr>
          <w:p>
            <w:pPr>
              <w:pStyle w:val="34"/>
              <w:rPr>
                <w:color w:val="A5A5A5" w:themeColor="background1" w:themeShade="A6"/>
                <w:highlight w:val="none"/>
              </w:rPr>
            </w:pPr>
            <w:r>
              <w:rPr>
                <w:color w:val="A5A5A5" w:themeColor="background1" w:themeShade="A6"/>
                <w:highlight w:val="none"/>
              </w:rPr>
              <w:t>7</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8</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602</w:t>
            </w:r>
          </w:p>
        </w:tc>
        <w:tc>
          <w:tcPr>
            <w:tcW w:w="1084" w:type="dxa"/>
            <w:vAlign w:val="center"/>
          </w:tcPr>
          <w:p>
            <w:pPr>
              <w:pStyle w:val="34"/>
              <w:rPr>
                <w:color w:val="A5A5A5" w:themeColor="background1" w:themeShade="A6"/>
                <w:highlight w:val="none"/>
              </w:rPr>
            </w:pPr>
            <w:r>
              <w:rPr>
                <w:color w:val="A5A5A5" w:themeColor="background1" w:themeShade="A6"/>
                <w:highlight w:val="none"/>
              </w:rPr>
              <w:t>8</w:t>
            </w:r>
          </w:p>
        </w:tc>
        <w:tc>
          <w:tcPr>
            <w:tcW w:w="1059" w:type="dxa"/>
            <w:vAlign w:val="center"/>
          </w:tcPr>
          <w:p>
            <w:pPr>
              <w:pStyle w:val="34"/>
              <w:rPr>
                <w:color w:val="auto"/>
                <w:highlight w:val="none"/>
              </w:rPr>
            </w:pPr>
            <w:r>
              <w:rPr>
                <w:color w:val="auto"/>
                <w:highlight w:val="none"/>
              </w:rPr>
              <w:t>1.1758</w:t>
            </w:r>
          </w:p>
        </w:tc>
        <w:tc>
          <w:tcPr>
            <w:tcW w:w="2057" w:type="dxa"/>
            <w:vAlign w:val="center"/>
          </w:tcPr>
          <w:p>
            <w:pPr>
              <w:pStyle w:val="34"/>
              <w:rPr>
                <w:color w:val="auto"/>
                <w:highlight w:val="none"/>
              </w:rPr>
            </w:pPr>
            <w:r>
              <w:rPr>
                <w:rFonts w:hint="eastAsia" w:eastAsia="宋体"/>
                <w:color w:val="auto"/>
                <w:highlight w:val="none"/>
                <w:lang w:val="en-US" w:eastAsia="zh-CN"/>
              </w:rPr>
              <w:t>CQI6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9</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1427" w:type="dxa"/>
          </w:tcPr>
          <w:p>
            <w:pPr>
              <w:pStyle w:val="34"/>
              <w:rPr>
                <w:color w:val="auto"/>
                <w:highlight w:val="none"/>
              </w:rPr>
            </w:pPr>
            <w:r>
              <w:rPr>
                <w:rFonts w:hint="eastAsia"/>
                <w:color w:val="auto"/>
                <w:highlight w:val="none"/>
              </w:rPr>
              <w:t>679</w:t>
            </w:r>
          </w:p>
        </w:tc>
        <w:tc>
          <w:tcPr>
            <w:tcW w:w="1084" w:type="dxa"/>
            <w:vAlign w:val="center"/>
          </w:tcPr>
          <w:p>
            <w:pPr>
              <w:pStyle w:val="34"/>
              <w:rPr>
                <w:color w:val="A5A5A5" w:themeColor="background1" w:themeShade="A6"/>
                <w:highlight w:val="none"/>
              </w:rPr>
            </w:pPr>
            <w:r>
              <w:rPr>
                <w:color w:val="A5A5A5" w:themeColor="background1" w:themeShade="A6"/>
                <w:highlight w:val="none"/>
              </w:rPr>
              <w:t>9</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10</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3</w:t>
            </w:r>
            <w:r>
              <w:rPr>
                <w:rFonts w:hint="eastAsia" w:eastAsia="宋体"/>
                <w:color w:val="auto"/>
                <w:highlight w:val="none"/>
                <w:lang w:val="en-US" w:eastAsia="zh-CN"/>
              </w:rPr>
              <w:t>40</w:t>
            </w:r>
          </w:p>
        </w:tc>
        <w:tc>
          <w:tcPr>
            <w:tcW w:w="1084" w:type="dxa"/>
            <w:vAlign w:val="center"/>
          </w:tcPr>
          <w:p>
            <w:pPr>
              <w:pStyle w:val="34"/>
              <w:rPr>
                <w:color w:val="A5A5A5" w:themeColor="background1" w:themeShade="A6"/>
                <w:highlight w:val="none"/>
              </w:rPr>
            </w:pPr>
            <w:r>
              <w:rPr>
                <w:color w:val="A5A5A5" w:themeColor="background1" w:themeShade="A6"/>
                <w:highlight w:val="none"/>
              </w:rPr>
              <w:t>9</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11</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378</w:t>
            </w:r>
          </w:p>
        </w:tc>
        <w:tc>
          <w:tcPr>
            <w:tcW w:w="1084" w:type="dxa"/>
            <w:vAlign w:val="center"/>
          </w:tcPr>
          <w:p>
            <w:pPr>
              <w:pStyle w:val="34"/>
              <w:rPr>
                <w:color w:val="A5A5A5" w:themeColor="background1" w:themeShade="A6"/>
                <w:highlight w:val="none"/>
              </w:rPr>
            </w:pPr>
            <w:r>
              <w:rPr>
                <w:color w:val="A5A5A5" w:themeColor="background1" w:themeShade="A6"/>
                <w:highlight w:val="none"/>
              </w:rPr>
              <w:t>10</w:t>
            </w:r>
          </w:p>
        </w:tc>
        <w:tc>
          <w:tcPr>
            <w:tcW w:w="1059" w:type="dxa"/>
            <w:vAlign w:val="center"/>
          </w:tcPr>
          <w:p>
            <w:pPr>
              <w:pStyle w:val="34"/>
              <w:rPr>
                <w:color w:val="auto"/>
                <w:highlight w:val="none"/>
              </w:rPr>
            </w:pPr>
            <w:r>
              <w:rPr>
                <w:color w:val="auto"/>
                <w:highlight w:val="none"/>
              </w:rPr>
              <w:t>1.4766</w:t>
            </w:r>
          </w:p>
        </w:tc>
        <w:tc>
          <w:tcPr>
            <w:tcW w:w="2057" w:type="dxa"/>
            <w:vAlign w:val="center"/>
          </w:tcPr>
          <w:p>
            <w:pPr>
              <w:pStyle w:val="34"/>
              <w:rPr>
                <w:color w:val="auto"/>
                <w:highlight w:val="none"/>
              </w:rPr>
            </w:pPr>
            <w:r>
              <w:rPr>
                <w:rFonts w:hint="eastAsia" w:eastAsia="宋体"/>
                <w:color w:val="auto"/>
                <w:highlight w:val="none"/>
                <w:lang w:val="en-US" w:eastAsia="zh-CN"/>
              </w:rPr>
              <w:t>CQI7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12</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434</w:t>
            </w:r>
          </w:p>
        </w:tc>
        <w:tc>
          <w:tcPr>
            <w:tcW w:w="1084" w:type="dxa"/>
            <w:vAlign w:val="center"/>
          </w:tcPr>
          <w:p>
            <w:pPr>
              <w:pStyle w:val="34"/>
              <w:rPr>
                <w:color w:val="A5A5A5" w:themeColor="background1" w:themeShade="A6"/>
                <w:highlight w:val="none"/>
              </w:rPr>
            </w:pPr>
            <w:r>
              <w:rPr>
                <w:color w:val="A5A5A5" w:themeColor="background1" w:themeShade="A6"/>
                <w:highlight w:val="none"/>
              </w:rPr>
              <w:t>11</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13</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490</w:t>
            </w:r>
          </w:p>
        </w:tc>
        <w:tc>
          <w:tcPr>
            <w:tcW w:w="1084" w:type="dxa"/>
            <w:vAlign w:val="center"/>
          </w:tcPr>
          <w:p>
            <w:pPr>
              <w:pStyle w:val="34"/>
              <w:rPr>
                <w:color w:val="A5A5A5" w:themeColor="background1" w:themeShade="A6"/>
                <w:highlight w:val="none"/>
              </w:rPr>
            </w:pPr>
            <w:r>
              <w:rPr>
                <w:color w:val="A5A5A5" w:themeColor="background1" w:themeShade="A6"/>
                <w:highlight w:val="none"/>
              </w:rPr>
              <w:t>12</w:t>
            </w:r>
          </w:p>
        </w:tc>
        <w:tc>
          <w:tcPr>
            <w:tcW w:w="1059" w:type="dxa"/>
            <w:vAlign w:val="center"/>
          </w:tcPr>
          <w:p>
            <w:pPr>
              <w:pStyle w:val="34"/>
              <w:rPr>
                <w:color w:val="auto"/>
                <w:highlight w:val="none"/>
              </w:rPr>
            </w:pPr>
            <w:r>
              <w:rPr>
                <w:color w:val="auto"/>
                <w:highlight w:val="none"/>
              </w:rPr>
              <w:t>1.9141</w:t>
            </w:r>
          </w:p>
        </w:tc>
        <w:tc>
          <w:tcPr>
            <w:tcW w:w="2057" w:type="dxa"/>
            <w:vAlign w:val="center"/>
          </w:tcPr>
          <w:p>
            <w:pPr>
              <w:pStyle w:val="34"/>
              <w:rPr>
                <w:color w:val="auto"/>
                <w:highlight w:val="none"/>
              </w:rPr>
            </w:pPr>
            <w:r>
              <w:rPr>
                <w:rFonts w:hint="eastAsia" w:eastAsia="宋体"/>
                <w:color w:val="auto"/>
                <w:highlight w:val="none"/>
                <w:lang w:val="en-US" w:eastAsia="zh-CN"/>
              </w:rPr>
              <w:t>CQI8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14</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553</w:t>
            </w:r>
          </w:p>
        </w:tc>
        <w:tc>
          <w:tcPr>
            <w:tcW w:w="1084" w:type="dxa"/>
            <w:vAlign w:val="center"/>
          </w:tcPr>
          <w:p>
            <w:pPr>
              <w:pStyle w:val="34"/>
              <w:rPr>
                <w:color w:val="A5A5A5" w:themeColor="background1" w:themeShade="A6"/>
                <w:highlight w:val="none"/>
              </w:rPr>
            </w:pPr>
            <w:r>
              <w:rPr>
                <w:color w:val="A5A5A5" w:themeColor="background1" w:themeShade="A6"/>
                <w:highlight w:val="none"/>
              </w:rPr>
              <w:t>13</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15</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616</w:t>
            </w:r>
          </w:p>
        </w:tc>
        <w:tc>
          <w:tcPr>
            <w:tcW w:w="1084" w:type="dxa"/>
            <w:vAlign w:val="center"/>
          </w:tcPr>
          <w:p>
            <w:pPr>
              <w:pStyle w:val="34"/>
              <w:rPr>
                <w:color w:val="A5A5A5" w:themeColor="background1" w:themeShade="A6"/>
                <w:highlight w:val="none"/>
              </w:rPr>
            </w:pPr>
            <w:r>
              <w:rPr>
                <w:color w:val="A5A5A5" w:themeColor="background1" w:themeShade="A6"/>
                <w:highlight w:val="none"/>
              </w:rPr>
              <w:t>14</w:t>
            </w:r>
          </w:p>
        </w:tc>
        <w:tc>
          <w:tcPr>
            <w:tcW w:w="1059" w:type="dxa"/>
            <w:vAlign w:val="center"/>
          </w:tcPr>
          <w:p>
            <w:pPr>
              <w:pStyle w:val="34"/>
              <w:rPr>
                <w:color w:val="auto"/>
                <w:highlight w:val="none"/>
              </w:rPr>
            </w:pPr>
            <w:r>
              <w:rPr>
                <w:color w:val="auto"/>
                <w:highlight w:val="none"/>
              </w:rPr>
              <w:t>2.4063</w:t>
            </w:r>
          </w:p>
        </w:tc>
        <w:tc>
          <w:tcPr>
            <w:tcW w:w="2057" w:type="dxa"/>
            <w:vAlign w:val="center"/>
          </w:tcPr>
          <w:p>
            <w:pPr>
              <w:pStyle w:val="34"/>
              <w:rPr>
                <w:color w:val="auto"/>
                <w:highlight w:val="none"/>
              </w:rPr>
            </w:pPr>
            <w:r>
              <w:rPr>
                <w:rFonts w:hint="eastAsia" w:eastAsia="宋体"/>
                <w:color w:val="auto"/>
                <w:highlight w:val="none"/>
                <w:lang w:val="en-US" w:eastAsia="zh-CN"/>
              </w:rPr>
              <w:t>CQI9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16</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1427" w:type="dxa"/>
          </w:tcPr>
          <w:p>
            <w:pPr>
              <w:pStyle w:val="34"/>
              <w:rPr>
                <w:color w:val="auto"/>
                <w:highlight w:val="none"/>
              </w:rPr>
            </w:pPr>
            <w:r>
              <w:rPr>
                <w:rFonts w:hint="eastAsia"/>
                <w:color w:val="auto"/>
                <w:highlight w:val="none"/>
              </w:rPr>
              <w:t>65</w:t>
            </w:r>
            <w:r>
              <w:rPr>
                <w:rFonts w:hint="eastAsia" w:eastAsia="宋体"/>
                <w:color w:val="auto"/>
                <w:highlight w:val="none"/>
                <w:lang w:val="en-US" w:eastAsia="zh-CN"/>
              </w:rPr>
              <w:t>8</w:t>
            </w:r>
          </w:p>
        </w:tc>
        <w:tc>
          <w:tcPr>
            <w:tcW w:w="1084" w:type="dxa"/>
            <w:vAlign w:val="center"/>
          </w:tcPr>
          <w:p>
            <w:pPr>
              <w:pStyle w:val="34"/>
              <w:rPr>
                <w:color w:val="A5A5A5" w:themeColor="background1" w:themeShade="A6"/>
                <w:highlight w:val="none"/>
              </w:rPr>
            </w:pPr>
            <w:r>
              <w:rPr>
                <w:color w:val="A5A5A5" w:themeColor="background1" w:themeShade="A6"/>
                <w:highlight w:val="none"/>
              </w:rPr>
              <w:t>15</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17</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438</w:t>
            </w:r>
          </w:p>
        </w:tc>
        <w:tc>
          <w:tcPr>
            <w:tcW w:w="1084" w:type="dxa"/>
            <w:vAlign w:val="center"/>
          </w:tcPr>
          <w:p>
            <w:pPr>
              <w:pStyle w:val="34"/>
              <w:rPr>
                <w:color w:val="A5A5A5" w:themeColor="background1" w:themeShade="A6"/>
                <w:highlight w:val="none"/>
              </w:rPr>
            </w:pPr>
            <w:r>
              <w:rPr>
                <w:color w:val="A5A5A5" w:themeColor="background1" w:themeShade="A6"/>
                <w:highlight w:val="none"/>
              </w:rPr>
              <w:t>15</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18</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466</w:t>
            </w:r>
          </w:p>
        </w:tc>
        <w:tc>
          <w:tcPr>
            <w:tcW w:w="1084" w:type="dxa"/>
            <w:vAlign w:val="center"/>
          </w:tcPr>
          <w:p>
            <w:pPr>
              <w:pStyle w:val="34"/>
              <w:rPr>
                <w:color w:val="A5A5A5" w:themeColor="background1" w:themeShade="A6"/>
                <w:highlight w:val="none"/>
              </w:rPr>
            </w:pPr>
            <w:r>
              <w:rPr>
                <w:color w:val="A5A5A5" w:themeColor="background1" w:themeShade="A6"/>
                <w:highlight w:val="none"/>
              </w:rPr>
              <w:t>16</w:t>
            </w:r>
          </w:p>
        </w:tc>
        <w:tc>
          <w:tcPr>
            <w:tcW w:w="1059" w:type="dxa"/>
            <w:vAlign w:val="center"/>
          </w:tcPr>
          <w:p>
            <w:pPr>
              <w:pStyle w:val="34"/>
              <w:rPr>
                <w:color w:val="auto"/>
                <w:highlight w:val="none"/>
              </w:rPr>
            </w:pPr>
            <w:r>
              <w:rPr>
                <w:color w:val="auto"/>
                <w:highlight w:val="none"/>
              </w:rPr>
              <w:t>2.7305</w:t>
            </w:r>
          </w:p>
        </w:tc>
        <w:tc>
          <w:tcPr>
            <w:tcW w:w="2057" w:type="dxa"/>
            <w:vAlign w:val="center"/>
          </w:tcPr>
          <w:p>
            <w:pPr>
              <w:pStyle w:val="34"/>
              <w:rPr>
                <w:color w:val="auto"/>
                <w:highlight w:val="none"/>
              </w:rPr>
            </w:pPr>
            <w:r>
              <w:rPr>
                <w:rFonts w:hint="eastAsia" w:eastAsia="宋体"/>
                <w:color w:val="auto"/>
                <w:highlight w:val="none"/>
                <w:lang w:val="en-US" w:eastAsia="zh-CN"/>
              </w:rPr>
              <w:t>CQI10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19</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51</w:t>
            </w:r>
            <w:r>
              <w:rPr>
                <w:rFonts w:hint="eastAsia" w:eastAsia="宋体"/>
                <w:color w:val="auto"/>
                <w:highlight w:val="none"/>
                <w:lang w:val="en-US" w:eastAsia="zh-CN"/>
              </w:rPr>
              <w:t>7</w:t>
            </w:r>
          </w:p>
        </w:tc>
        <w:tc>
          <w:tcPr>
            <w:tcW w:w="1084" w:type="dxa"/>
            <w:vAlign w:val="center"/>
          </w:tcPr>
          <w:p>
            <w:pPr>
              <w:pStyle w:val="34"/>
              <w:rPr>
                <w:color w:val="A5A5A5" w:themeColor="background1" w:themeShade="A6"/>
                <w:highlight w:val="none"/>
              </w:rPr>
            </w:pPr>
            <w:r>
              <w:rPr>
                <w:color w:val="A5A5A5" w:themeColor="background1" w:themeShade="A6"/>
                <w:highlight w:val="none"/>
              </w:rPr>
              <w:t>17</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20</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567</w:t>
            </w:r>
          </w:p>
        </w:tc>
        <w:tc>
          <w:tcPr>
            <w:tcW w:w="1084" w:type="dxa"/>
            <w:vAlign w:val="center"/>
          </w:tcPr>
          <w:p>
            <w:pPr>
              <w:pStyle w:val="34"/>
              <w:rPr>
                <w:color w:val="A5A5A5" w:themeColor="background1" w:themeShade="A6"/>
                <w:highlight w:val="none"/>
              </w:rPr>
            </w:pPr>
            <w:r>
              <w:rPr>
                <w:color w:val="A5A5A5" w:themeColor="background1" w:themeShade="A6"/>
                <w:highlight w:val="none"/>
              </w:rPr>
              <w:t>18</w:t>
            </w:r>
          </w:p>
        </w:tc>
        <w:tc>
          <w:tcPr>
            <w:tcW w:w="1059" w:type="dxa"/>
            <w:vAlign w:val="center"/>
          </w:tcPr>
          <w:p>
            <w:pPr>
              <w:pStyle w:val="34"/>
              <w:rPr>
                <w:color w:val="auto"/>
                <w:highlight w:val="none"/>
              </w:rPr>
            </w:pPr>
            <w:r>
              <w:rPr>
                <w:color w:val="auto"/>
                <w:highlight w:val="none"/>
              </w:rPr>
              <w:t>3.3223</w:t>
            </w:r>
          </w:p>
        </w:tc>
        <w:tc>
          <w:tcPr>
            <w:tcW w:w="2057" w:type="dxa"/>
            <w:vAlign w:val="center"/>
          </w:tcPr>
          <w:p>
            <w:pPr>
              <w:pStyle w:val="34"/>
              <w:rPr>
                <w:color w:val="auto"/>
                <w:highlight w:val="none"/>
              </w:rPr>
            </w:pPr>
            <w:r>
              <w:rPr>
                <w:rFonts w:hint="eastAsia" w:eastAsia="宋体"/>
                <w:color w:val="auto"/>
                <w:highlight w:val="none"/>
                <w:lang w:val="en-US" w:eastAsia="zh-CN"/>
              </w:rPr>
              <w:t>CQI11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21</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61</w:t>
            </w:r>
            <w:r>
              <w:rPr>
                <w:rFonts w:hint="eastAsia" w:eastAsia="宋体"/>
                <w:color w:val="auto"/>
                <w:highlight w:val="none"/>
                <w:lang w:val="en-US" w:eastAsia="zh-CN"/>
              </w:rPr>
              <w:t>7</w:t>
            </w:r>
          </w:p>
        </w:tc>
        <w:tc>
          <w:tcPr>
            <w:tcW w:w="1084" w:type="dxa"/>
            <w:vAlign w:val="center"/>
          </w:tcPr>
          <w:p>
            <w:pPr>
              <w:pStyle w:val="34"/>
              <w:rPr>
                <w:color w:val="A5A5A5" w:themeColor="background1" w:themeShade="A6"/>
                <w:highlight w:val="none"/>
              </w:rPr>
            </w:pPr>
            <w:r>
              <w:rPr>
                <w:color w:val="A5A5A5" w:themeColor="background1" w:themeShade="A6"/>
                <w:highlight w:val="none"/>
              </w:rPr>
              <w:t>19</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22</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666</w:t>
            </w:r>
          </w:p>
        </w:tc>
        <w:tc>
          <w:tcPr>
            <w:tcW w:w="1084" w:type="dxa"/>
            <w:vAlign w:val="center"/>
          </w:tcPr>
          <w:p>
            <w:pPr>
              <w:pStyle w:val="34"/>
              <w:rPr>
                <w:color w:val="A5A5A5" w:themeColor="background1" w:themeShade="A6"/>
                <w:highlight w:val="none"/>
              </w:rPr>
            </w:pPr>
            <w:r>
              <w:rPr>
                <w:color w:val="A5A5A5" w:themeColor="background1" w:themeShade="A6"/>
                <w:highlight w:val="none"/>
              </w:rPr>
              <w:t>20</w:t>
            </w:r>
          </w:p>
        </w:tc>
        <w:tc>
          <w:tcPr>
            <w:tcW w:w="1059" w:type="dxa"/>
            <w:vAlign w:val="center"/>
          </w:tcPr>
          <w:p>
            <w:pPr>
              <w:pStyle w:val="34"/>
              <w:rPr>
                <w:color w:val="auto"/>
                <w:highlight w:val="none"/>
              </w:rPr>
            </w:pPr>
            <w:r>
              <w:rPr>
                <w:color w:val="auto"/>
                <w:highlight w:val="none"/>
              </w:rPr>
              <w:t>3.9023</w:t>
            </w:r>
          </w:p>
        </w:tc>
        <w:tc>
          <w:tcPr>
            <w:tcW w:w="2057" w:type="dxa"/>
            <w:vAlign w:val="center"/>
          </w:tcPr>
          <w:p>
            <w:pPr>
              <w:pStyle w:val="34"/>
              <w:rPr>
                <w:color w:val="auto"/>
                <w:highlight w:val="none"/>
              </w:rPr>
            </w:pPr>
            <w:r>
              <w:rPr>
                <w:rFonts w:hint="eastAsia" w:eastAsia="宋体"/>
                <w:color w:val="auto"/>
                <w:highlight w:val="none"/>
                <w:lang w:val="en-US" w:eastAsia="zh-CN"/>
              </w:rPr>
              <w:t>CQI12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23</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719</w:t>
            </w:r>
          </w:p>
        </w:tc>
        <w:tc>
          <w:tcPr>
            <w:tcW w:w="1084" w:type="dxa"/>
            <w:vAlign w:val="center"/>
          </w:tcPr>
          <w:p>
            <w:pPr>
              <w:pStyle w:val="34"/>
              <w:rPr>
                <w:color w:val="A5A5A5" w:themeColor="background1" w:themeShade="A6"/>
                <w:highlight w:val="none"/>
              </w:rPr>
            </w:pPr>
            <w:r>
              <w:rPr>
                <w:color w:val="A5A5A5" w:themeColor="background1" w:themeShade="A6"/>
                <w:highlight w:val="none"/>
              </w:rPr>
              <w:t>21</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24</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772</w:t>
            </w:r>
          </w:p>
        </w:tc>
        <w:tc>
          <w:tcPr>
            <w:tcW w:w="1084" w:type="dxa"/>
            <w:vAlign w:val="center"/>
          </w:tcPr>
          <w:p>
            <w:pPr>
              <w:pStyle w:val="34"/>
              <w:rPr>
                <w:color w:val="A5A5A5" w:themeColor="background1" w:themeShade="A6"/>
                <w:highlight w:val="none"/>
              </w:rPr>
            </w:pPr>
            <w:r>
              <w:rPr>
                <w:color w:val="A5A5A5" w:themeColor="background1" w:themeShade="A6"/>
                <w:highlight w:val="none"/>
              </w:rPr>
              <w:t>22</w:t>
            </w:r>
          </w:p>
        </w:tc>
        <w:tc>
          <w:tcPr>
            <w:tcW w:w="1059" w:type="dxa"/>
            <w:vAlign w:val="center"/>
          </w:tcPr>
          <w:p>
            <w:pPr>
              <w:pStyle w:val="34"/>
              <w:rPr>
                <w:color w:val="auto"/>
                <w:highlight w:val="none"/>
              </w:rPr>
            </w:pPr>
            <w:r>
              <w:rPr>
                <w:color w:val="auto"/>
                <w:highlight w:val="none"/>
              </w:rPr>
              <w:t>4.5234</w:t>
            </w:r>
          </w:p>
        </w:tc>
        <w:tc>
          <w:tcPr>
            <w:tcW w:w="2057" w:type="dxa"/>
            <w:vAlign w:val="center"/>
          </w:tcPr>
          <w:p>
            <w:pPr>
              <w:pStyle w:val="34"/>
              <w:rPr>
                <w:color w:val="auto"/>
                <w:highlight w:val="none"/>
              </w:rPr>
            </w:pPr>
            <w:r>
              <w:rPr>
                <w:rFonts w:hint="eastAsia" w:eastAsia="宋体"/>
                <w:color w:val="auto"/>
                <w:highlight w:val="none"/>
                <w:lang w:val="en-US" w:eastAsia="zh-CN"/>
              </w:rPr>
              <w:t>CQI13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25</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82</w:t>
            </w:r>
            <w:r>
              <w:rPr>
                <w:rFonts w:hint="eastAsia" w:eastAsia="宋体"/>
                <w:color w:val="auto"/>
                <w:highlight w:val="none"/>
                <w:lang w:val="en-US" w:eastAsia="zh-CN"/>
              </w:rPr>
              <w:t>3</w:t>
            </w:r>
          </w:p>
        </w:tc>
        <w:tc>
          <w:tcPr>
            <w:tcW w:w="1084" w:type="dxa"/>
            <w:vAlign w:val="center"/>
          </w:tcPr>
          <w:p>
            <w:pPr>
              <w:pStyle w:val="34"/>
              <w:rPr>
                <w:color w:val="A5A5A5" w:themeColor="background1" w:themeShade="A6"/>
                <w:highlight w:val="none"/>
              </w:rPr>
            </w:pPr>
            <w:r>
              <w:rPr>
                <w:color w:val="A5A5A5" w:themeColor="background1" w:themeShade="A6"/>
                <w:highlight w:val="none"/>
              </w:rPr>
              <w:t>23</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26</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873</w:t>
            </w:r>
          </w:p>
        </w:tc>
        <w:tc>
          <w:tcPr>
            <w:tcW w:w="1084" w:type="dxa"/>
            <w:vAlign w:val="center"/>
          </w:tcPr>
          <w:p>
            <w:pPr>
              <w:pStyle w:val="34"/>
              <w:rPr>
                <w:color w:val="A5A5A5" w:themeColor="background1" w:themeShade="A6"/>
                <w:highlight w:val="none"/>
              </w:rPr>
            </w:pPr>
            <w:r>
              <w:rPr>
                <w:color w:val="A5A5A5" w:themeColor="background1" w:themeShade="A6"/>
                <w:highlight w:val="none"/>
              </w:rPr>
              <w:t>24</w:t>
            </w:r>
          </w:p>
        </w:tc>
        <w:tc>
          <w:tcPr>
            <w:tcW w:w="1059" w:type="dxa"/>
            <w:vAlign w:val="center"/>
          </w:tcPr>
          <w:p>
            <w:pPr>
              <w:pStyle w:val="34"/>
              <w:rPr>
                <w:color w:val="auto"/>
                <w:highlight w:val="none"/>
              </w:rPr>
            </w:pPr>
            <w:r>
              <w:rPr>
                <w:color w:val="auto"/>
                <w:highlight w:val="none"/>
              </w:rPr>
              <w:t>5.1152</w:t>
            </w:r>
          </w:p>
        </w:tc>
        <w:tc>
          <w:tcPr>
            <w:tcW w:w="2057" w:type="dxa"/>
            <w:vAlign w:val="center"/>
          </w:tcPr>
          <w:p>
            <w:pPr>
              <w:pStyle w:val="34"/>
              <w:rPr>
                <w:color w:val="auto"/>
                <w:highlight w:val="none"/>
              </w:rPr>
            </w:pPr>
            <w:r>
              <w:rPr>
                <w:rFonts w:hint="eastAsia" w:eastAsia="宋体"/>
                <w:color w:val="auto"/>
                <w:highlight w:val="none"/>
                <w:lang w:val="en-US" w:eastAsia="zh-CN"/>
              </w:rPr>
              <w:t>CQI14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27</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91</w:t>
            </w:r>
            <w:r>
              <w:rPr>
                <w:rFonts w:hint="eastAsia" w:eastAsia="宋体"/>
                <w:color w:val="auto"/>
                <w:highlight w:val="none"/>
                <w:lang w:val="en-US" w:eastAsia="zh-CN"/>
              </w:rPr>
              <w:t>1</w:t>
            </w:r>
          </w:p>
        </w:tc>
        <w:tc>
          <w:tcPr>
            <w:tcW w:w="1084" w:type="dxa"/>
            <w:vAlign w:val="center"/>
          </w:tcPr>
          <w:p>
            <w:pPr>
              <w:pStyle w:val="34"/>
              <w:rPr>
                <w:color w:val="A5A5A5" w:themeColor="background1" w:themeShade="A6"/>
                <w:highlight w:val="none"/>
              </w:rPr>
            </w:pPr>
            <w:r>
              <w:rPr>
                <w:color w:val="A5A5A5" w:themeColor="background1" w:themeShade="A6"/>
                <w:highlight w:val="none"/>
              </w:rPr>
              <w:t>25</w:t>
            </w:r>
          </w:p>
        </w:tc>
        <w:tc>
          <w:tcPr>
            <w:tcW w:w="1059" w:type="dxa"/>
            <w:vAlign w:val="center"/>
          </w:tcPr>
          <w:p>
            <w:pPr>
              <w:pStyle w:val="34"/>
              <w:rPr>
                <w:color w:val="auto"/>
                <w:highlight w:val="none"/>
              </w:rPr>
            </w:pPr>
            <w:r>
              <w:rPr>
                <w:rFonts w:hint="eastAsia" w:eastAsia="宋体"/>
                <w:color w:val="auto"/>
                <w:highlight w:val="none"/>
                <w:lang w:val="en-US" w:eastAsia="zh-CN"/>
              </w:rPr>
              <w:t>Average</w:t>
            </w:r>
          </w:p>
        </w:tc>
        <w:tc>
          <w:tcPr>
            <w:tcW w:w="2057" w:type="dxa"/>
            <w:vAlign w:val="center"/>
          </w:tcPr>
          <w:p>
            <w:pPr>
              <w:pStyle w:val="34"/>
              <w:rPr>
                <w:rFonts w:eastAsia="宋体"/>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28</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1427" w:type="dxa"/>
          </w:tcPr>
          <w:p>
            <w:pPr>
              <w:pStyle w:val="34"/>
              <w:rPr>
                <w:color w:val="auto"/>
                <w:highlight w:val="none"/>
              </w:rPr>
            </w:pPr>
            <w:r>
              <w:rPr>
                <w:rFonts w:hint="eastAsia"/>
                <w:color w:val="auto"/>
                <w:highlight w:val="none"/>
              </w:rPr>
              <w:t>948</w:t>
            </w:r>
          </w:p>
        </w:tc>
        <w:tc>
          <w:tcPr>
            <w:tcW w:w="1084" w:type="dxa"/>
            <w:vAlign w:val="center"/>
          </w:tcPr>
          <w:p>
            <w:pPr>
              <w:pStyle w:val="34"/>
              <w:rPr>
                <w:color w:val="A5A5A5" w:themeColor="background1" w:themeShade="A6"/>
                <w:highlight w:val="none"/>
              </w:rPr>
            </w:pPr>
            <w:r>
              <w:rPr>
                <w:color w:val="A5A5A5" w:themeColor="background1" w:themeShade="A6"/>
                <w:highlight w:val="none"/>
              </w:rPr>
              <w:t>26</w:t>
            </w:r>
            <w:r>
              <w:rPr>
                <w:rFonts w:hint="eastAsia"/>
                <w:color w:val="A5A5A5" w:themeColor="background1" w:themeShade="A6"/>
                <w:highlight w:val="none"/>
              </w:rPr>
              <w:t>/26A</w:t>
            </w:r>
          </w:p>
        </w:tc>
        <w:tc>
          <w:tcPr>
            <w:tcW w:w="1059" w:type="dxa"/>
            <w:vAlign w:val="center"/>
          </w:tcPr>
          <w:p>
            <w:pPr>
              <w:pStyle w:val="34"/>
              <w:rPr>
                <w:color w:val="auto"/>
                <w:highlight w:val="none"/>
              </w:rPr>
            </w:pPr>
            <w:r>
              <w:rPr>
                <w:color w:val="auto"/>
                <w:highlight w:val="none"/>
              </w:rPr>
              <w:t>5.5547</w:t>
            </w:r>
          </w:p>
        </w:tc>
        <w:tc>
          <w:tcPr>
            <w:tcW w:w="2057" w:type="dxa"/>
            <w:vAlign w:val="center"/>
          </w:tcPr>
          <w:p>
            <w:pPr>
              <w:pStyle w:val="34"/>
              <w:rPr>
                <w:color w:val="auto"/>
                <w:highlight w:val="none"/>
              </w:rPr>
            </w:pPr>
            <w:r>
              <w:rPr>
                <w:rFonts w:hint="eastAsia" w:eastAsia="宋体"/>
                <w:color w:val="auto"/>
                <w:highlight w:val="none"/>
                <w:lang w:val="en-US" w:eastAsia="zh-CN"/>
              </w:rPr>
              <w:t>CQI15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29</w:t>
            </w:r>
          </w:p>
        </w:tc>
        <w:tc>
          <w:tcPr>
            <w:tcW w:w="1532" w:type="dxa"/>
            <w:tcBorders>
              <w:left w:val="double" w:color="auto" w:sz="4" w:space="0"/>
            </w:tcBorders>
            <w:vAlign w:val="center"/>
          </w:tcPr>
          <w:p>
            <w:pPr>
              <w:pStyle w:val="34"/>
              <w:rPr>
                <w:color w:val="auto"/>
                <w:highlight w:val="none"/>
              </w:rPr>
            </w:pPr>
            <w:r>
              <w:rPr>
                <w:color w:val="auto"/>
                <w:highlight w:val="none"/>
              </w:rPr>
              <w:t>2</w:t>
            </w:r>
          </w:p>
        </w:tc>
        <w:tc>
          <w:tcPr>
            <w:tcW w:w="5627" w:type="dxa"/>
            <w:gridSpan w:val="4"/>
            <w:vMerge w:val="restart"/>
            <w:vAlign w:val="center"/>
          </w:tcPr>
          <w:p>
            <w:pPr>
              <w:pStyle w:val="34"/>
              <w:rPr>
                <w:color w:val="auto"/>
                <w:highlight w:val="none"/>
              </w:rPr>
            </w:pPr>
            <w:r>
              <w:rPr>
                <w:color w:val="auto"/>
                <w:highlight w:val="none"/>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30</w:t>
            </w:r>
          </w:p>
        </w:tc>
        <w:tc>
          <w:tcPr>
            <w:tcW w:w="1532" w:type="dxa"/>
            <w:tcBorders>
              <w:left w:val="double" w:color="auto" w:sz="4" w:space="0"/>
            </w:tcBorders>
            <w:vAlign w:val="center"/>
          </w:tcPr>
          <w:p>
            <w:pPr>
              <w:pStyle w:val="34"/>
              <w:rPr>
                <w:color w:val="auto"/>
                <w:highlight w:val="none"/>
              </w:rPr>
            </w:pPr>
            <w:r>
              <w:rPr>
                <w:color w:val="auto"/>
                <w:highlight w:val="none"/>
              </w:rPr>
              <w:t>4</w:t>
            </w:r>
          </w:p>
        </w:tc>
        <w:tc>
          <w:tcPr>
            <w:tcW w:w="5627" w:type="dxa"/>
            <w:gridSpan w:val="4"/>
            <w:vMerge w:val="continue"/>
            <w:vAlign w:val="center"/>
          </w:tcPr>
          <w:p>
            <w:pPr>
              <w:pStyle w:val="34"/>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15" w:type="dxa"/>
            <w:tcBorders>
              <w:right w:val="double" w:color="auto" w:sz="4" w:space="0"/>
            </w:tcBorders>
            <w:shd w:val="clear" w:color="auto" w:fill="auto"/>
            <w:vAlign w:val="center"/>
          </w:tcPr>
          <w:p>
            <w:pPr>
              <w:pStyle w:val="34"/>
              <w:rPr>
                <w:b/>
                <w:color w:val="auto"/>
                <w:highlight w:val="none"/>
              </w:rPr>
            </w:pPr>
            <w:r>
              <w:rPr>
                <w:b/>
                <w:color w:val="auto"/>
                <w:highlight w:val="none"/>
              </w:rPr>
              <w:t>31</w:t>
            </w:r>
          </w:p>
        </w:tc>
        <w:tc>
          <w:tcPr>
            <w:tcW w:w="1532" w:type="dxa"/>
            <w:tcBorders>
              <w:left w:val="double" w:color="auto" w:sz="4" w:space="0"/>
            </w:tcBorders>
            <w:vAlign w:val="center"/>
          </w:tcPr>
          <w:p>
            <w:pPr>
              <w:pStyle w:val="34"/>
              <w:rPr>
                <w:color w:val="auto"/>
                <w:highlight w:val="none"/>
              </w:rPr>
            </w:pPr>
            <w:r>
              <w:rPr>
                <w:color w:val="auto"/>
                <w:highlight w:val="none"/>
              </w:rPr>
              <w:t>6</w:t>
            </w:r>
          </w:p>
        </w:tc>
        <w:tc>
          <w:tcPr>
            <w:tcW w:w="5627" w:type="dxa"/>
            <w:gridSpan w:val="4"/>
            <w:vMerge w:val="continue"/>
            <w:vAlign w:val="center"/>
          </w:tcPr>
          <w:p>
            <w:pPr>
              <w:pStyle w:val="34"/>
              <w:rPr>
                <w:color w:val="auto"/>
                <w:highlight w:val="none"/>
              </w:rPr>
            </w:pPr>
          </w:p>
        </w:tc>
      </w:tr>
    </w:tbl>
    <w:p>
      <w:pPr>
        <w:jc w:val="center"/>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3954780" cy="29654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4" cstate="print"/>
                    <a:srcRect/>
                    <a:stretch>
                      <a:fillRect/>
                    </a:stretch>
                  </pic:blipFill>
                  <pic:spPr>
                    <a:xfrm>
                      <a:off x="0" y="0"/>
                      <a:ext cx="3954780" cy="2965450"/>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is the MCS table up to 256QAM </w:t>
      </w:r>
      <w:r>
        <w:rPr>
          <w:rFonts w:hint="eastAsia" w:ascii="Times New Roman" w:hAnsi="Times New Roman"/>
          <w:color w:val="auto"/>
          <w:sz w:val="20"/>
          <w:szCs w:val="20"/>
          <w:highlight w:val="none"/>
          <w:lang w:val="en-US" w:eastAsia="zh-CN"/>
        </w:rPr>
        <w:t>extending from</w:t>
      </w:r>
      <w:r>
        <w:rPr>
          <w:rFonts w:hint="eastAsia" w:ascii="Times New Roman" w:hAnsi="Times New Roman"/>
          <w:color w:val="auto"/>
          <w:sz w:val="20"/>
          <w:szCs w:val="20"/>
          <w:highlight w:val="none"/>
        </w:rPr>
        <w:t xml:space="preserve"> LTE adding the code rate and SE columns. These values of SE column are from the corresponding CQI table and the average operation between the last and the next existing SE values. These values of code rate column are calculated by the SE and modulation order. For achieving the highest code rate 0.95,  the code rate x 1024 of MCS index 27 is modified from 948 to 972. Accordingly the the code rate x 1024 of MCS index 26 is modified from 917 to 929 due to the updated average SE. According to the table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gives the simulation results of the SNR/efficiency respectively using Turbo and LDPC code, where 948 and 917 for Turbo and 972 and 929 for LDPC. We can find that the SNR/efficiency points of LDPC are similar to that of Turbo and only the similar offsets are between the both. So we suggest the all entries of table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to be used for the MCS table up to 256QAM for NR PDSCH.</w:t>
      </w:r>
      <w:r>
        <w:rPr>
          <w:rFonts w:hint="eastAsia" w:ascii="Times New Roman" w:hAnsi="Times New Roman"/>
          <w:color w:val="auto"/>
          <w:sz w:val="20"/>
          <w:szCs w:val="20"/>
          <w:highlight w:val="none"/>
          <w:lang w:val="en-US" w:eastAsia="zh-CN"/>
        </w:rPr>
        <w:t xml:space="preserve"> Similar as LTE, the last three indices are reserved for modulation order indication.</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5</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256QAM for LTE PDSCH is reused for NR PDSCH except MCS indices 26 and 27.</w:t>
      </w:r>
    </w:p>
    <w:p>
      <w:pPr>
        <w:numPr>
          <w:ilvl w:val="1"/>
          <w:numId w:val="12"/>
        </w:numPr>
        <w:adjustRightInd w:val="0"/>
        <w:snapToGrid w:val="0"/>
        <w:spacing w:line="240" w:lineRule="auto"/>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1"/>
          <w:numId w:val="12"/>
        </w:numPr>
        <w:adjustRightInd w:val="0"/>
        <w:snapToGrid w:val="0"/>
        <w:spacing w:line="240" w:lineRule="auto"/>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MCS indices 26 and 27 are obtained by extending the highest code rate to 0.95.</w:t>
      </w:r>
      <w:r>
        <w:rPr>
          <w:rFonts w:hint="eastAsia" w:ascii="Times New Roman" w:hAnsi="宋体"/>
          <w:i/>
          <w:iCs/>
          <w:color w:val="auto"/>
          <w:sz w:val="20"/>
          <w:szCs w:val="20"/>
          <w:highlight w:val="none"/>
        </w:rPr>
        <w:t xml:space="preserve"> </w:t>
      </w: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4</w:t>
      </w:r>
      <w:r>
        <w:rPr>
          <w:rFonts w:hint="eastAsia" w:ascii="Times New Roman" w:hAnsi="Times New Roman"/>
          <w:color w:val="auto"/>
          <w:sz w:val="20"/>
          <w:szCs w:val="20"/>
          <w:highlight w:val="none"/>
        </w:rPr>
        <w:t xml:space="preserve"> MCS Table for up to 256QAM for NR PDSCH</w:t>
      </w:r>
    </w:p>
    <w:tbl>
      <w:tblPr>
        <w:tblStyle w:val="21"/>
        <w:tblW w:w="93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535"/>
        <w:gridCol w:w="1222"/>
        <w:gridCol w:w="1273"/>
        <w:gridCol w:w="2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137" w:type="dxa"/>
            <w:tcBorders>
              <w:bottom w:val="double" w:color="auto" w:sz="4" w:space="0"/>
              <w:right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MCS Index</w:t>
            </w:r>
            <w:r>
              <w:rPr>
                <w:rFonts w:ascii="Arial" w:hAnsi="Arial"/>
                <w:b/>
                <w:bCs/>
                <w:color w:val="auto"/>
                <w:sz w:val="18"/>
                <w:highlight w:val="none"/>
                <w:lang w:eastAsia="en-US"/>
              </w:rPr>
              <w:br w:type="textWrapping"/>
            </w:r>
            <w:r>
              <w:rPr>
                <w:rFonts w:ascii="Arial" w:hAnsi="Arial"/>
                <w:b/>
                <w:color w:val="auto"/>
                <w:position w:val="-10"/>
                <w:sz w:val="18"/>
                <w:highlight w:val="none"/>
                <w:lang w:eastAsia="en-US"/>
              </w:rPr>
              <w:object>
                <v:shape id="_x0000_i1028"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5">
                  <o:LockedField>false</o:LockedField>
                </o:OLEObject>
              </w:object>
            </w:r>
          </w:p>
        </w:tc>
        <w:tc>
          <w:tcPr>
            <w:tcW w:w="1716" w:type="dxa"/>
            <w:tcBorders>
              <w:left w:val="double" w:color="auto" w:sz="4" w:space="0"/>
              <w:bottom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Modulation Order</w:t>
            </w:r>
            <w:r>
              <w:rPr>
                <w:rFonts w:ascii="Arial" w:hAnsi="Arial"/>
                <w:b/>
                <w:bCs/>
                <w:color w:val="auto"/>
                <w:sz w:val="18"/>
                <w:highlight w:val="none"/>
                <w:lang w:eastAsia="en-US"/>
              </w:rPr>
              <w:br w:type="textWrapping"/>
            </w:r>
            <w:r>
              <w:rPr>
                <w:rFonts w:ascii="Arial" w:hAnsi="Arial"/>
                <w:b/>
                <w:bCs/>
                <w:color w:val="auto"/>
                <w:position w:val="-10"/>
                <w:sz w:val="18"/>
                <w:highlight w:val="none"/>
                <w:lang w:val="pt-BR" w:eastAsia="en-US"/>
              </w:rPr>
              <w:object>
                <v:shape id="_x0000_i1029"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535" w:type="dxa"/>
            <w:tcBorders>
              <w:bottom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color w:val="auto"/>
                <w:sz w:val="18"/>
                <w:highlight w:val="none"/>
              </w:rPr>
              <w:t>code rate x 1024</w:t>
            </w:r>
          </w:p>
        </w:tc>
        <w:tc>
          <w:tcPr>
            <w:tcW w:w="1222" w:type="dxa"/>
            <w:tcBorders>
              <w:bottom w:val="double" w:color="auto" w:sz="4" w:space="0"/>
            </w:tcBorders>
            <w:shd w:val="clear" w:color="auto" w:fill="E0E0E0"/>
            <w:vAlign w:val="center"/>
          </w:tcPr>
          <w:p>
            <w:pPr>
              <w:keepNext/>
              <w:keepLines/>
              <w:jc w:val="center"/>
              <w:rPr>
                <w:rFonts w:ascii="Arial" w:hAnsi="Arial"/>
                <w:b/>
                <w:bCs/>
                <w:color w:val="A5A5A5" w:themeColor="background1" w:themeShade="A6"/>
                <w:sz w:val="18"/>
                <w:highlight w:val="none"/>
                <w:lang w:eastAsia="en-US"/>
              </w:rPr>
            </w:pPr>
            <w:r>
              <w:rPr>
                <w:rFonts w:ascii="Arial" w:hAnsi="Arial"/>
                <w:b/>
                <w:bCs/>
                <w:color w:val="A5A5A5" w:themeColor="background1" w:themeShade="A6"/>
                <w:sz w:val="18"/>
                <w:highlight w:val="none"/>
                <w:lang w:eastAsia="en-US"/>
              </w:rPr>
              <w:t>TBS Index</w:t>
            </w:r>
            <w:r>
              <w:rPr>
                <w:rFonts w:ascii="Arial" w:hAnsi="Arial"/>
                <w:b/>
                <w:bCs/>
                <w:color w:val="A5A5A5" w:themeColor="background1" w:themeShade="A6"/>
                <w:sz w:val="18"/>
                <w:highlight w:val="none"/>
                <w:lang w:eastAsia="en-US"/>
              </w:rPr>
              <w:br w:type="textWrapping"/>
            </w:r>
            <w:r>
              <w:rPr>
                <w:rFonts w:ascii="Arial" w:hAnsi="Arial"/>
                <w:b/>
                <w:color w:val="A5A5A5" w:themeColor="background1" w:themeShade="A6"/>
                <w:position w:val="-10"/>
                <w:sz w:val="18"/>
                <w:highlight w:val="none"/>
                <w:lang w:eastAsia="en-US"/>
              </w:rPr>
              <w:object>
                <v:shape id="_x0000_i1030"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1273" w:type="dxa"/>
            <w:tcBorders>
              <w:bottom w:val="double" w:color="auto" w:sz="4" w:space="0"/>
            </w:tcBorders>
            <w:shd w:val="clear" w:color="auto" w:fill="E0E0E0"/>
            <w:vAlign w:val="center"/>
          </w:tcPr>
          <w:p>
            <w:pPr>
              <w:keepNext/>
              <w:keepLines/>
              <w:jc w:val="center"/>
              <w:rPr>
                <w:rFonts w:ascii="Arial" w:hAnsi="Arial"/>
                <w:b/>
                <w:bCs/>
                <w:color w:val="auto"/>
                <w:sz w:val="18"/>
                <w:highlight w:val="none"/>
              </w:rPr>
            </w:pPr>
            <w:r>
              <w:rPr>
                <w:rFonts w:hint="eastAsia" w:ascii="Arial" w:hAnsi="Arial"/>
                <w:b/>
                <w:bCs/>
                <w:color w:val="auto"/>
                <w:sz w:val="18"/>
                <w:highlight w:val="none"/>
              </w:rPr>
              <w:t>efficiency</w:t>
            </w:r>
          </w:p>
        </w:tc>
        <w:tc>
          <w:tcPr>
            <w:tcW w:w="2487" w:type="dxa"/>
            <w:tcBorders>
              <w:bottom w:val="double" w:color="auto" w:sz="4" w:space="0"/>
            </w:tcBorders>
            <w:shd w:val="clear" w:color="auto" w:fill="E0E0E0"/>
            <w:vAlign w:val="center"/>
          </w:tcPr>
          <w:p>
            <w:pPr>
              <w:keepNext/>
              <w:keepLines/>
              <w:jc w:val="center"/>
              <w:rPr>
                <w:rFonts w:ascii="Arial" w:hAnsi="Arial"/>
                <w:b/>
                <w:bCs/>
                <w:color w:val="auto"/>
                <w:sz w:val="18"/>
                <w:highlight w:val="none"/>
              </w:rPr>
            </w:pPr>
            <w:r>
              <w:rPr>
                <w:rFonts w:hint="eastAsia" w:ascii="Arial" w:hAnsi="Arial"/>
                <w:b/>
                <w:bCs/>
                <w:color w:val="auto"/>
                <w:sz w:val="18"/>
                <w:highlight w:val="none"/>
              </w:rPr>
              <w:t>Comments for 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0</w:t>
            </w:r>
          </w:p>
        </w:tc>
        <w:tc>
          <w:tcPr>
            <w:tcW w:w="1716" w:type="dxa"/>
            <w:tcBorders>
              <w:top w:val="double" w:color="auto" w:sz="4" w:space="0"/>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535" w:type="dxa"/>
            <w:tcBorders>
              <w:top w:val="double" w:color="auto" w:sz="4" w:space="0"/>
            </w:tcBorders>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120</w:t>
            </w:r>
          </w:p>
        </w:tc>
        <w:tc>
          <w:tcPr>
            <w:tcW w:w="1222" w:type="dxa"/>
            <w:tcBorders>
              <w:top w:val="double" w:color="auto" w:sz="4" w:space="0"/>
            </w:tcBorders>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0 </w:t>
            </w:r>
          </w:p>
        </w:tc>
        <w:tc>
          <w:tcPr>
            <w:tcW w:w="1273" w:type="dxa"/>
            <w:tcBorders>
              <w:top w:val="double" w:color="auto" w:sz="4" w:space="0"/>
            </w:tcBorders>
            <w:vAlign w:val="center"/>
          </w:tcPr>
          <w:p>
            <w:pPr>
              <w:keepLines/>
              <w:spacing w:before="40" w:after="40"/>
              <w:jc w:val="center"/>
              <w:rPr>
                <w:rFonts w:ascii="Arial" w:hAnsi="Arial" w:cs="Arial"/>
                <w:color w:val="auto"/>
                <w:sz w:val="18"/>
                <w:szCs w:val="18"/>
                <w:highlight w:val="none"/>
                <w:lang w:eastAsia="en-US"/>
              </w:rPr>
            </w:pPr>
            <w:r>
              <w:rPr>
                <w:color w:val="auto"/>
                <w:highlight w:val="none"/>
              </w:rPr>
              <w:t>0.2344</w:t>
            </w:r>
          </w:p>
        </w:tc>
        <w:tc>
          <w:tcPr>
            <w:tcW w:w="2487" w:type="dxa"/>
            <w:tcBorders>
              <w:top w:val="double" w:color="auto" w:sz="4" w:space="0"/>
            </w:tcBorders>
            <w:vAlign w:val="center"/>
          </w:tcPr>
          <w:p>
            <w:pPr>
              <w:keepLines/>
              <w:spacing w:before="40" w:after="40"/>
              <w:jc w:val="center"/>
              <w:rPr>
                <w:color w:val="auto"/>
                <w:highlight w:val="none"/>
              </w:rPr>
            </w:pPr>
            <w:r>
              <w:rPr>
                <w:rFonts w:hint="eastAsia"/>
                <w:color w:val="auto"/>
                <w:highlight w:val="none"/>
              </w:rPr>
              <w:t>CQI2 of 64QAM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193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 </w:t>
            </w:r>
          </w:p>
        </w:tc>
        <w:tc>
          <w:tcPr>
            <w:tcW w:w="1273" w:type="dxa"/>
            <w:vAlign w:val="center"/>
          </w:tcPr>
          <w:p>
            <w:pPr>
              <w:keepLines/>
              <w:spacing w:before="40" w:after="40"/>
              <w:jc w:val="center"/>
              <w:rPr>
                <w:rFonts w:ascii="Arial" w:hAnsi="Arial" w:cs="Arial"/>
                <w:color w:val="auto"/>
                <w:sz w:val="18"/>
                <w:szCs w:val="18"/>
                <w:highlight w:val="none"/>
                <w:lang w:eastAsia="en-US"/>
              </w:rPr>
            </w:pPr>
            <w:r>
              <w:rPr>
                <w:color w:val="auto"/>
                <w:highlight w:val="none"/>
              </w:rPr>
              <w:t>0.3770</w:t>
            </w:r>
          </w:p>
        </w:tc>
        <w:tc>
          <w:tcPr>
            <w:tcW w:w="2487" w:type="dxa"/>
            <w:vAlign w:val="center"/>
          </w:tcPr>
          <w:p>
            <w:pPr>
              <w:keepLines/>
              <w:spacing w:before="40" w:after="40"/>
              <w:jc w:val="center"/>
              <w:rPr>
                <w:color w:val="auto"/>
                <w:highlight w:val="none"/>
              </w:rPr>
            </w:pPr>
            <w:r>
              <w:rPr>
                <w:rFonts w:hint="eastAsia"/>
                <w:color w:val="auto"/>
                <w:highlight w:val="none"/>
              </w:rPr>
              <w:t>CQI2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321</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4 </w:t>
            </w:r>
          </w:p>
        </w:tc>
        <w:tc>
          <w:tcPr>
            <w:tcW w:w="1273" w:type="dxa"/>
            <w:vAlign w:val="center"/>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3</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449</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6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0.8770</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CQI3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4</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603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8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5</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378</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10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1.4766</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CQI4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6</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434</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11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7</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490</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12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1.9141</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CQI5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553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13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9</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616</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14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2.4063</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CQI6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10</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658</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15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11</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466</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16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2.7305</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CQI7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12</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517</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17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13</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567</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18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3.3223</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CQI8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14</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617</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19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15</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666</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20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3.9023</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CQI9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16</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719</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21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17</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772</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22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4.5234</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CQI10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823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23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19</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873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24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5.1152</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CQI11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20</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683</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25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21</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711</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27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5.5547</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CQI12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22</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754</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28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23</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797</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29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olor w:val="auto"/>
                <w:sz w:val="18"/>
                <w:highlight w:val="none"/>
              </w:rPr>
              <w:t>6.2266</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CQI13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24</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841</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30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25</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885</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r>
              <w:rPr>
                <w:rFonts w:ascii="Arial" w:hAnsi="Arial" w:cs="Arial"/>
                <w:color w:val="A5A5A5" w:themeColor="background1" w:themeShade="A6"/>
                <w:sz w:val="18"/>
                <w:szCs w:val="18"/>
                <w:highlight w:val="none"/>
                <w:lang w:eastAsia="en-US"/>
              </w:rPr>
              <w:t xml:space="preserve">31 </w:t>
            </w: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ascii="Arial" w:hAnsi="Arial"/>
                <w:color w:val="auto"/>
                <w:sz w:val="18"/>
                <w:highlight w:val="none"/>
              </w:rPr>
              <w:t>6.91</w:t>
            </w:r>
            <w:r>
              <w:rPr>
                <w:rFonts w:hint="eastAsia" w:ascii="Arial" w:hAnsi="Arial"/>
                <w:color w:val="auto"/>
                <w:sz w:val="18"/>
                <w:highlight w:val="none"/>
              </w:rPr>
              <w:t>41</w:t>
            </w:r>
          </w:p>
        </w:tc>
        <w:tc>
          <w:tcPr>
            <w:tcW w:w="2487" w:type="dxa"/>
            <w:vAlign w:val="center"/>
          </w:tcPr>
          <w:p>
            <w:pPr>
              <w:keepLines/>
              <w:spacing w:before="40" w:after="40"/>
              <w:jc w:val="center"/>
              <w:rPr>
                <w:rFonts w:ascii="Arial" w:hAnsi="Arial"/>
                <w:color w:val="auto"/>
                <w:sz w:val="18"/>
                <w:highlight w:val="none"/>
              </w:rPr>
            </w:pPr>
            <w:r>
              <w:rPr>
                <w:rFonts w:hint="eastAsia"/>
                <w:color w:val="auto"/>
                <w:highlight w:val="none"/>
              </w:rPr>
              <w:t>CQI14 of 256QAM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26</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929</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p>
        </w:tc>
        <w:tc>
          <w:tcPr>
            <w:tcW w:w="1273" w:type="dxa"/>
            <w:vAlign w:val="center"/>
          </w:tcPr>
          <w:p>
            <w:pPr>
              <w:keepLines/>
              <w:spacing w:before="40" w:after="40"/>
              <w:jc w:val="center"/>
              <w:rPr>
                <w:rFonts w:ascii="Arial" w:hAnsi="Arial" w:cs="Arial"/>
                <w:color w:val="auto"/>
                <w:sz w:val="18"/>
                <w:szCs w:val="18"/>
                <w:highlight w:val="none"/>
                <w:lang w:eastAsia="en-US"/>
              </w:rPr>
            </w:pPr>
            <w:r>
              <w:rPr>
                <w:rFonts w:hint="eastAsia" w:ascii="Arial" w:hAnsi="Arial" w:cs="Arial"/>
                <w:color w:val="auto"/>
                <w:sz w:val="18"/>
                <w:szCs w:val="18"/>
                <w:highlight w:val="none"/>
              </w:rPr>
              <w:t>Average</w:t>
            </w:r>
          </w:p>
        </w:tc>
        <w:tc>
          <w:tcPr>
            <w:tcW w:w="2487" w:type="dxa"/>
            <w:vAlign w:val="center"/>
          </w:tcPr>
          <w:p>
            <w:pPr>
              <w:keepLines/>
              <w:spacing w:before="40" w:after="40"/>
              <w:jc w:val="center"/>
              <w:rPr>
                <w:rFonts w:ascii="Arial" w:hAnsi="Arial"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27</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535" w:type="dxa"/>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972</w:t>
            </w:r>
          </w:p>
        </w:tc>
        <w:tc>
          <w:tcPr>
            <w:tcW w:w="1222" w:type="dxa"/>
            <w:vAlign w:val="center"/>
          </w:tcPr>
          <w:p>
            <w:pPr>
              <w:keepLines/>
              <w:spacing w:before="40" w:after="40"/>
              <w:jc w:val="center"/>
              <w:rPr>
                <w:rFonts w:ascii="Arial" w:hAnsi="Arial" w:cs="Arial"/>
                <w:color w:val="A5A5A5" w:themeColor="background1" w:themeShade="A6"/>
                <w:sz w:val="18"/>
                <w:szCs w:val="18"/>
                <w:highlight w:val="none"/>
                <w:lang w:eastAsia="en-US"/>
              </w:rPr>
            </w:pPr>
          </w:p>
        </w:tc>
        <w:tc>
          <w:tcPr>
            <w:tcW w:w="1273" w:type="dxa"/>
            <w:vAlign w:val="center"/>
          </w:tcPr>
          <w:p>
            <w:pPr>
              <w:keepLines/>
              <w:spacing w:before="40" w:after="40"/>
              <w:jc w:val="center"/>
              <w:rPr>
                <w:rFonts w:ascii="Arial" w:hAnsi="Arial" w:cs="Arial"/>
                <w:color w:val="auto"/>
                <w:sz w:val="18"/>
                <w:szCs w:val="18"/>
                <w:highlight w:val="none"/>
              </w:rPr>
            </w:pPr>
            <w:r>
              <w:rPr>
                <w:rFonts w:hint="eastAsia" w:ascii="Arial" w:hAnsi="Arial" w:cs="Arial"/>
                <w:color w:val="auto"/>
                <w:sz w:val="18"/>
                <w:szCs w:val="18"/>
                <w:highlight w:val="none"/>
              </w:rPr>
              <w:t>7.60</w:t>
            </w:r>
          </w:p>
        </w:tc>
        <w:tc>
          <w:tcPr>
            <w:tcW w:w="2487" w:type="dxa"/>
            <w:vAlign w:val="center"/>
          </w:tcPr>
          <w:p>
            <w:pPr>
              <w:keepLines/>
              <w:spacing w:before="40" w:after="40"/>
              <w:jc w:val="center"/>
              <w:rPr>
                <w:rFonts w:ascii="Arial" w:hAnsi="Arial" w:cs="Arial"/>
                <w:color w:val="auto"/>
                <w:sz w:val="18"/>
                <w:szCs w:val="18"/>
                <w:highlight w:val="none"/>
              </w:rPr>
            </w:pPr>
            <w:r>
              <w:rPr>
                <w:rFonts w:hint="eastAsia" w:ascii="Times New Roman" w:hAnsi="Times New Roman"/>
                <w:i/>
                <w:iCs/>
                <w:color w:val="auto"/>
                <w:sz w:val="20"/>
                <w:szCs w:val="20"/>
                <w:highlight w:val="none"/>
              </w:rPr>
              <w:t>SE of the code rate 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6517" w:type="dxa"/>
            <w:gridSpan w:val="4"/>
            <w:vMerge w:val="restart"/>
            <w:vAlign w:val="center"/>
          </w:tcPr>
          <w:p>
            <w:pPr>
              <w:keepLines/>
              <w:spacing w:before="40" w:after="40"/>
              <w:jc w:val="center"/>
              <w:rPr>
                <w:rFonts w:ascii="Arial" w:hAnsi="Arial" w:cs="Arial"/>
                <w:color w:val="auto"/>
                <w:sz w:val="18"/>
                <w:szCs w:val="18"/>
                <w:highlight w:val="none"/>
              </w:rPr>
            </w:pPr>
          </w:p>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29</w:t>
            </w:r>
          </w:p>
        </w:tc>
        <w:tc>
          <w:tcPr>
            <w:tcW w:w="1716" w:type="dxa"/>
            <w:tcBorders>
              <w:left w:val="double" w:color="auto" w:sz="4" w:space="0"/>
            </w:tcBorders>
          </w:tcPr>
          <w:p>
            <w:pPr>
              <w:keepLines/>
              <w:spacing w:before="40" w:after="40"/>
              <w:jc w:val="center"/>
              <w:rPr>
                <w:color w:val="auto"/>
                <w:highlight w:val="none"/>
                <w:lang w:eastAsia="en-US"/>
              </w:rPr>
            </w:pPr>
            <w:r>
              <w:rPr>
                <w:color w:val="auto"/>
                <w:highlight w:val="none"/>
                <w:lang w:eastAsia="en-US"/>
              </w:rPr>
              <w:t xml:space="preserve">4 </w:t>
            </w:r>
          </w:p>
        </w:tc>
        <w:tc>
          <w:tcPr>
            <w:tcW w:w="6517" w:type="dxa"/>
            <w:gridSpan w:val="4"/>
            <w:vMerge w:val="continue"/>
          </w:tcPr>
          <w:p>
            <w:pPr>
              <w:keepLines/>
              <w:spacing w:before="40" w:after="40"/>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30</w:t>
            </w:r>
          </w:p>
        </w:tc>
        <w:tc>
          <w:tcPr>
            <w:tcW w:w="1716" w:type="dxa"/>
            <w:tcBorders>
              <w:left w:val="double" w:color="auto" w:sz="4" w:space="0"/>
            </w:tcBorders>
            <w:vAlign w:val="center"/>
          </w:tcPr>
          <w:p>
            <w:pPr>
              <w:keepLines/>
              <w:spacing w:before="40" w:after="40"/>
              <w:jc w:val="center"/>
              <w:rPr>
                <w:color w:val="auto"/>
                <w:highlight w:val="none"/>
                <w:lang w:eastAsia="en-US"/>
              </w:rPr>
            </w:pPr>
            <w:r>
              <w:rPr>
                <w:color w:val="auto"/>
                <w:highlight w:val="none"/>
                <w:lang w:eastAsia="en-US"/>
              </w:rPr>
              <w:t xml:space="preserve">6 </w:t>
            </w:r>
          </w:p>
        </w:tc>
        <w:tc>
          <w:tcPr>
            <w:tcW w:w="6517" w:type="dxa"/>
            <w:gridSpan w:val="4"/>
            <w:vMerge w:val="continue"/>
            <w:vAlign w:val="center"/>
          </w:tcPr>
          <w:p>
            <w:pPr>
              <w:keepLines/>
              <w:spacing w:before="40" w:after="40"/>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31</w:t>
            </w:r>
          </w:p>
        </w:tc>
        <w:tc>
          <w:tcPr>
            <w:tcW w:w="1716" w:type="dxa"/>
            <w:tcBorders>
              <w:left w:val="double" w:color="auto" w:sz="4" w:space="0"/>
            </w:tcBorders>
            <w:vAlign w:val="center"/>
          </w:tcPr>
          <w:p>
            <w:pPr>
              <w:keepLines/>
              <w:spacing w:before="40" w:after="40"/>
              <w:jc w:val="center"/>
              <w:rPr>
                <w:color w:val="auto"/>
                <w:highlight w:val="none"/>
                <w:lang w:eastAsia="en-US"/>
              </w:rPr>
            </w:pPr>
            <w:r>
              <w:rPr>
                <w:color w:val="auto"/>
                <w:highlight w:val="none"/>
                <w:lang w:eastAsia="en-US"/>
              </w:rPr>
              <w:t xml:space="preserve">8 </w:t>
            </w:r>
          </w:p>
        </w:tc>
        <w:tc>
          <w:tcPr>
            <w:tcW w:w="6517" w:type="dxa"/>
            <w:gridSpan w:val="4"/>
            <w:vMerge w:val="continue"/>
            <w:vAlign w:val="center"/>
          </w:tcPr>
          <w:p>
            <w:pPr>
              <w:keepLines/>
              <w:spacing w:before="40" w:after="40"/>
              <w:jc w:val="center"/>
              <w:rPr>
                <w:color w:val="auto"/>
                <w:highlight w:val="none"/>
                <w:lang w:eastAsia="en-US"/>
              </w:rPr>
            </w:pPr>
          </w:p>
        </w:tc>
      </w:tr>
    </w:tbl>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4408805" cy="330454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noChangeArrowheads="1"/>
                    </pic:cNvPicPr>
                  </pic:nvPicPr>
                  <pic:blipFill>
                    <a:blip r:embed="rId18" cstate="print"/>
                    <a:srcRect/>
                    <a:stretch>
                      <a:fillRect/>
                    </a:stretch>
                  </pic:blipFill>
                  <pic:spPr>
                    <a:xfrm>
                      <a:off x="0" y="0"/>
                      <a:ext cx="4408805" cy="3304540"/>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both"/>
        <w:outlineLvl w:val="1"/>
        <w:rPr>
          <w:rFonts w:ascii="Times New Roman" w:hAnsi="Times New Roman"/>
          <w:b/>
          <w:color w:val="auto"/>
          <w:sz w:val="24"/>
          <w:szCs w:val="24"/>
          <w:highlight w:val="none"/>
        </w:rPr>
      </w:pPr>
      <w:r>
        <w:rPr>
          <w:rFonts w:hint="eastAsia" w:ascii="Times New Roman" w:hAnsi="Times New Roman"/>
          <w:b/>
          <w:color w:val="auto"/>
          <w:sz w:val="24"/>
          <w:szCs w:val="24"/>
          <w:highlight w:val="none"/>
        </w:rPr>
        <w:t xml:space="preserve">3.2 Discussion on MCS table for </w:t>
      </w:r>
      <w:r>
        <w:rPr>
          <w:rFonts w:ascii="Times New Roman" w:hAnsi="Times New Roman"/>
          <w:b/>
          <w:color w:val="auto"/>
          <w:sz w:val="24"/>
          <w:szCs w:val="24"/>
          <w:highlight w:val="none"/>
        </w:rPr>
        <w:t>NR P</w:t>
      </w:r>
      <w:r>
        <w:rPr>
          <w:rFonts w:hint="eastAsia" w:ascii="Times New Roman" w:hAnsi="Times New Roman"/>
          <w:b/>
          <w:color w:val="auto"/>
          <w:sz w:val="24"/>
          <w:szCs w:val="24"/>
          <w:highlight w:val="none"/>
        </w:rPr>
        <w:t>U</w:t>
      </w:r>
      <w:r>
        <w:rPr>
          <w:rFonts w:ascii="Times New Roman" w:hAnsi="Times New Roman"/>
          <w:b/>
          <w:color w:val="auto"/>
          <w:sz w:val="24"/>
          <w:szCs w:val="24"/>
          <w:highlight w:val="none"/>
        </w:rPr>
        <w:t>SCH</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Because HARQ for NR PUSCH is adaptive while LTE is non-adaptive, in order to derive none </w:t>
      </w:r>
      <w:r>
        <w:rPr>
          <w:rFonts w:ascii="Times New Roman" w:hAnsi="Times New Roman"/>
          <w:color w:val="auto"/>
          <w:sz w:val="20"/>
          <w:szCs w:val="20"/>
          <w:highlight w:val="none"/>
        </w:rPr>
        <w:t>limited</w:t>
      </w:r>
      <w:r>
        <w:rPr>
          <w:rFonts w:hint="eastAsia" w:ascii="Times New Roman" w:hAnsi="Times New Roman"/>
          <w:color w:val="auto"/>
          <w:sz w:val="20"/>
          <w:szCs w:val="20"/>
          <w:highlight w:val="none"/>
        </w:rPr>
        <w:t xml:space="preserve"> uplink scheduling for retransmission, it is better to use modulation order indication in NR MCS indication to replace RV indication in LTE MCS indication for UL retransmission. Similar with LTE downlink MCS indication, modulation order indication can be used to select any code rate for retransmission scheduling. In </w:t>
      </w:r>
      <w:r>
        <w:rPr>
          <w:rFonts w:ascii="Times New Roman" w:hAnsi="Times New Roman"/>
          <w:color w:val="auto"/>
          <w:sz w:val="20"/>
          <w:szCs w:val="20"/>
          <w:highlight w:val="none"/>
        </w:rPr>
        <w:t>detail</w:t>
      </w:r>
      <w:r>
        <w:rPr>
          <w:rFonts w:hint="eastAsia" w:ascii="Times New Roman" w:hAnsi="Times New Roman"/>
          <w:color w:val="auto"/>
          <w:sz w:val="20"/>
          <w:szCs w:val="20"/>
          <w:highlight w:val="none"/>
        </w:rPr>
        <w:t xml:space="preserve">, for </w:t>
      </w:r>
      <w:r>
        <w:rPr>
          <w:rFonts w:ascii="Times New Roman" w:hAnsi="Times New Roman"/>
          <w:color w:val="auto"/>
          <w:sz w:val="20"/>
          <w:szCs w:val="20"/>
          <w:highlight w:val="none"/>
        </w:rPr>
        <w:t>retransmission</w:t>
      </w:r>
      <w:r>
        <w:rPr>
          <w:rFonts w:hint="eastAsia" w:ascii="Times New Roman" w:hAnsi="Times New Roman"/>
          <w:color w:val="auto"/>
          <w:sz w:val="20"/>
          <w:szCs w:val="20"/>
          <w:highlight w:val="none"/>
        </w:rPr>
        <w:t xml:space="preserve"> packet, based on the known TBS from the </w:t>
      </w:r>
      <w:r>
        <w:rPr>
          <w:rFonts w:ascii="Times New Roman" w:hAnsi="Times New Roman"/>
          <w:color w:val="auto"/>
          <w:sz w:val="20"/>
          <w:szCs w:val="20"/>
          <w:highlight w:val="none"/>
        </w:rPr>
        <w:t>initial</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transmission</w:t>
      </w:r>
      <w:r>
        <w:rPr>
          <w:rFonts w:hint="eastAsia" w:ascii="Times New Roman" w:hAnsi="Times New Roman"/>
          <w:color w:val="auto"/>
          <w:sz w:val="20"/>
          <w:szCs w:val="20"/>
          <w:highlight w:val="none"/>
        </w:rPr>
        <w:t xml:space="preserve"> and selected resource size, the fact that gNode can schedule any size of resource can leads to the fact that any size of code rate can be decided. That is to say,    gNodeB can choose any MCS for retransmission. So we suggest to reserve several MCS indices to indicate all supported modulation order indication in MCS table for NR PUSCH.</w:t>
      </w:r>
    </w:p>
    <w:p>
      <w:pPr>
        <w:adjustRightInd w:val="0"/>
        <w:snapToGrid w:val="0"/>
        <w:spacing w:before="120" w:line="240" w:lineRule="auto"/>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Proposal 6: The last several MCS indices in MCS table of NR PUSCH are reserved for modulation order indication as MCS table of LTE PDSCH .</w:t>
      </w:r>
    </w:p>
    <w:p>
      <w:pPr>
        <w:adjustRightInd w:val="0"/>
        <w:snapToGrid w:val="0"/>
        <w:spacing w:line="240" w:lineRule="auto"/>
        <w:jc w:val="both"/>
        <w:outlineLvl w:val="2"/>
        <w:rPr>
          <w:rFonts w:ascii="Times New Roman" w:hAnsi="Times New Roman"/>
          <w:b/>
          <w:bCs/>
          <w:color w:val="auto"/>
          <w:sz w:val="24"/>
          <w:szCs w:val="24"/>
          <w:highlight w:val="none"/>
        </w:rPr>
      </w:pPr>
      <w:r>
        <w:rPr>
          <w:rFonts w:hint="eastAsia" w:ascii="Times New Roman" w:hAnsi="Times New Roman"/>
          <w:b/>
          <w:bCs/>
          <w:color w:val="auto"/>
          <w:sz w:val="24"/>
          <w:szCs w:val="24"/>
          <w:highlight w:val="none"/>
        </w:rPr>
        <w:t>3.2.1 In case of CP-OFDM</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is the MCS table up to 64QAM for PUS</w:t>
      </w:r>
      <w:r>
        <w:rPr>
          <w:rFonts w:hint="eastAsia" w:ascii="Times New Roman" w:hAnsi="Times New Roman"/>
          <w:color w:val="auto"/>
          <w:sz w:val="20"/>
          <w:szCs w:val="20"/>
          <w:highlight w:val="none"/>
          <w:lang w:val="en-US" w:eastAsia="zh-CN"/>
        </w:rPr>
        <w:t>C</w:t>
      </w:r>
      <w:r>
        <w:rPr>
          <w:rFonts w:hint="eastAsia" w:ascii="Times New Roman" w:hAnsi="Times New Roman"/>
          <w:color w:val="auto"/>
          <w:sz w:val="20"/>
          <w:szCs w:val="20"/>
          <w:highlight w:val="none"/>
        </w:rPr>
        <w:t xml:space="preserve">H </w:t>
      </w:r>
      <w:r>
        <w:rPr>
          <w:rFonts w:hint="eastAsia" w:ascii="Times New Roman" w:hAnsi="Times New Roman"/>
          <w:color w:val="auto"/>
          <w:sz w:val="20"/>
          <w:szCs w:val="20"/>
          <w:highlight w:val="none"/>
          <w:lang w:val="en-US" w:eastAsia="zh-CN"/>
        </w:rPr>
        <w:t>based on</w:t>
      </w:r>
      <w:r>
        <w:rPr>
          <w:rFonts w:hint="eastAsia" w:ascii="Times New Roman" w:hAnsi="Times New Roman"/>
          <w:color w:val="auto"/>
          <w:sz w:val="20"/>
          <w:szCs w:val="20"/>
          <w:highlight w:val="none"/>
        </w:rPr>
        <w:t xml:space="preserve"> LTE</w:t>
      </w:r>
      <w:r>
        <w:rPr>
          <w:rFonts w:hint="default" w:ascii="Times New Roman" w:hAnsi="Times New Roman"/>
          <w:color w:val="auto"/>
          <w:sz w:val="20"/>
          <w:szCs w:val="20"/>
          <w:highlight w:val="none"/>
          <w:lang w:val="en-US" w:eastAsia="zh-CN"/>
        </w:rPr>
        <w:t>’</w:t>
      </w:r>
      <w:r>
        <w:rPr>
          <w:rFonts w:hint="eastAsia" w:ascii="Times New Roman" w:hAnsi="Times New Roman"/>
          <w:color w:val="auto"/>
          <w:sz w:val="20"/>
          <w:szCs w:val="20"/>
          <w:highlight w:val="none"/>
          <w:lang w:val="en-US" w:eastAsia="zh-CN"/>
        </w:rPr>
        <w:t>s corresponding table</w:t>
      </w:r>
      <w:r>
        <w:rPr>
          <w:rFonts w:hint="eastAsia" w:ascii="Times New Roman" w:hAnsi="Times New Roman"/>
          <w:color w:val="auto"/>
          <w:sz w:val="20"/>
          <w:szCs w:val="20"/>
          <w:highlight w:val="none"/>
        </w:rPr>
        <w:t xml:space="preserve"> adding the code rate and SE columns. These values of SE column are from the SE column of table 2 by dividing 1.2 assuming that the RE number per PRB for PDSCH and PUSCH respectively are 120 and 144. We modify the 3 entries of 29, 30 and 31 for retransmission indication as downlink. According to the table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gives the simulation results of the SNR/efficiency respectively using Turbo and LDPC code. In figure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the Turbo simulation is in the case of DFT-s-OFDM of LTE where the performance is the same as the case of  CP-OFDM in AWGN situation and the LDPC simulation is for NR PUSCH in the case of CP-OFDM. According to figure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we can find that the SNR/efficiency points of LDPC are similar to that of Turbo and only the similar offsets are between the both. We suggest the all entries of table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to be used for the MCS table up to 64QAM for NR PUSCH in case of CP-OFDM.</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7</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64QAM for LTE PUSCH is reused for NR PUSCH with CP-OFDM except MCS indices 29-31.</w:t>
      </w:r>
    </w:p>
    <w:p>
      <w:pPr>
        <w:numPr>
          <w:ilvl w:val="0"/>
          <w:numId w:val="13"/>
        </w:numPr>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0"/>
          <w:numId w:val="13"/>
        </w:numPr>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MCS index 29-31 are reserved for modulation order indication</w:t>
      </w: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5</w:t>
      </w:r>
      <w:r>
        <w:rPr>
          <w:rFonts w:hint="eastAsia" w:ascii="Times New Roman" w:hAnsi="Times New Roman"/>
          <w:color w:val="auto"/>
          <w:sz w:val="20"/>
          <w:szCs w:val="20"/>
          <w:highlight w:val="none"/>
        </w:rPr>
        <w:t xml:space="preserve"> MCS Table for up to 64QAM for NR PUSCH in case of CP-OFDM</w:t>
      </w:r>
    </w:p>
    <w:tbl>
      <w:tblPr>
        <w:tblStyle w:val="21"/>
        <w:tblW w:w="6763" w:type="dxa"/>
        <w:jc w:val="center"/>
        <w:tblInd w:w="2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716"/>
        <w:gridCol w:w="1097"/>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0" w:hRule="atLeast"/>
          <w:jc w:val="center"/>
        </w:trPr>
        <w:tc>
          <w:tcPr>
            <w:tcW w:w="1137" w:type="dxa"/>
            <w:tcBorders>
              <w:right w:val="double" w:color="auto" w:sz="4" w:space="0"/>
            </w:tcBorders>
            <w:shd w:val="clear" w:color="auto" w:fill="E0E0E0"/>
            <w:vAlign w:val="center"/>
          </w:tcPr>
          <w:p>
            <w:pPr>
              <w:pStyle w:val="33"/>
              <w:rPr>
                <w:bCs/>
                <w:color w:val="auto"/>
                <w:highlight w:val="none"/>
              </w:rPr>
            </w:pPr>
            <w:r>
              <w:rPr>
                <w:bCs/>
                <w:color w:val="auto"/>
                <w:highlight w:val="none"/>
              </w:rPr>
              <w:t>MCS Index</w:t>
            </w:r>
            <w:r>
              <w:rPr>
                <w:bCs/>
                <w:color w:val="auto"/>
                <w:highlight w:val="none"/>
              </w:rPr>
              <w:br w:type="textWrapping"/>
            </w:r>
            <w:r>
              <w:rPr>
                <w:color w:val="auto"/>
                <w:highlight w:val="none"/>
              </w:rPr>
              <w:object>
                <v:shape id="_x0000_i1031"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9">
                  <o:LockedField>false</o:LockedField>
                </o:OLEObject>
              </w:object>
            </w:r>
          </w:p>
        </w:tc>
        <w:tc>
          <w:tcPr>
            <w:tcW w:w="1716" w:type="dxa"/>
            <w:tcBorders>
              <w:left w:val="double" w:color="auto" w:sz="4" w:space="0"/>
            </w:tcBorders>
            <w:shd w:val="clear" w:color="auto" w:fill="E0E0E0"/>
            <w:vAlign w:val="center"/>
          </w:tcPr>
          <w:p>
            <w:pPr>
              <w:pStyle w:val="33"/>
              <w:rPr>
                <w:bCs/>
                <w:color w:val="auto"/>
                <w:highlight w:val="none"/>
              </w:rPr>
            </w:pPr>
            <w:r>
              <w:rPr>
                <w:bCs/>
                <w:color w:val="auto"/>
                <w:highlight w:val="none"/>
              </w:rPr>
              <w:t>Modulation Order</w:t>
            </w:r>
            <w:r>
              <w:rPr>
                <w:bCs/>
                <w:color w:val="auto"/>
                <w:highlight w:val="none"/>
              </w:rPr>
              <w:br w:type="textWrapping"/>
            </w:r>
            <w:r>
              <w:rPr>
                <w:bCs/>
                <w:color w:val="auto"/>
                <w:highlight w:val="none"/>
                <w:lang w:val="pt-BR"/>
              </w:rPr>
              <w:object>
                <v:shape id="_x0000_i1032"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32" DrawAspect="Content" ObjectID="_1468075732" r:id="rId20">
                  <o:LockedField>false</o:LockedField>
                </o:OLEObject>
              </w:object>
            </w:r>
          </w:p>
        </w:tc>
        <w:tc>
          <w:tcPr>
            <w:tcW w:w="1716" w:type="dxa"/>
            <w:shd w:val="clear" w:color="auto" w:fill="E0E0E0"/>
            <w:vAlign w:val="center"/>
          </w:tcPr>
          <w:p>
            <w:pPr>
              <w:pStyle w:val="33"/>
              <w:rPr>
                <w:bCs/>
                <w:color w:val="auto"/>
                <w:highlight w:val="none"/>
              </w:rPr>
            </w:pPr>
            <w:r>
              <w:rPr>
                <w:color w:val="auto"/>
                <w:highlight w:val="none"/>
              </w:rPr>
              <w:t>code rate x 1024</w:t>
            </w:r>
          </w:p>
        </w:tc>
        <w:tc>
          <w:tcPr>
            <w:tcW w:w="1097" w:type="dxa"/>
            <w:shd w:val="clear" w:color="auto" w:fill="E0E0E0"/>
            <w:vAlign w:val="center"/>
          </w:tcPr>
          <w:p>
            <w:pPr>
              <w:pStyle w:val="33"/>
              <w:rPr>
                <w:bCs/>
                <w:color w:val="A5A5A5" w:themeColor="background1" w:themeShade="A6"/>
                <w:highlight w:val="none"/>
              </w:rPr>
            </w:pPr>
            <w:r>
              <w:rPr>
                <w:bCs/>
                <w:color w:val="A5A5A5" w:themeColor="background1" w:themeShade="A6"/>
                <w:highlight w:val="none"/>
              </w:rPr>
              <w:t>TBS Index</w:t>
            </w:r>
            <w:r>
              <w:rPr>
                <w:bCs/>
                <w:color w:val="A5A5A5" w:themeColor="background1" w:themeShade="A6"/>
                <w:highlight w:val="none"/>
              </w:rPr>
              <w:br w:type="textWrapping"/>
            </w:r>
            <w:r>
              <w:rPr>
                <w:color w:val="A5A5A5" w:themeColor="background1" w:themeShade="A6"/>
                <w:highlight w:val="none"/>
              </w:rPr>
              <w:object>
                <v:shape id="_x0000_i1033"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1">
                  <o:LockedField>false</o:LockedField>
                </o:OLEObject>
              </w:object>
            </w:r>
          </w:p>
        </w:tc>
        <w:tc>
          <w:tcPr>
            <w:tcW w:w="1097" w:type="dxa"/>
            <w:tcBorders>
              <w:bottom w:val="double" w:color="auto" w:sz="4" w:space="0"/>
            </w:tcBorders>
            <w:shd w:val="clear" w:color="auto" w:fill="E0E0E0"/>
            <w:vAlign w:val="center"/>
          </w:tcPr>
          <w:p>
            <w:pPr>
              <w:pStyle w:val="33"/>
              <w:rPr>
                <w:rFonts w:eastAsia="宋体"/>
                <w:bCs/>
                <w:color w:val="auto"/>
                <w:highlight w:val="none"/>
                <w:lang w:val="en-US" w:eastAsia="zh-CN"/>
              </w:rPr>
            </w:pPr>
            <w:r>
              <w:rPr>
                <w:rFonts w:hint="eastAsia" w:eastAsia="宋体"/>
                <w:bCs/>
                <w:color w:val="auto"/>
                <w:highlight w:val="none"/>
                <w:lang w:val="en-US" w:eastAsia="zh-CN"/>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rPr>
            </w:pPr>
            <w:r>
              <w:rPr>
                <w:b/>
                <w:color w:val="auto"/>
                <w:highlight w:val="none"/>
              </w:rPr>
              <w:t>0</w:t>
            </w:r>
          </w:p>
        </w:tc>
        <w:tc>
          <w:tcPr>
            <w:tcW w:w="1716" w:type="dxa"/>
            <w:tcBorders>
              <w:top w:val="double" w:color="auto" w:sz="4" w:space="0"/>
              <w:left w:val="double" w:color="auto" w:sz="4" w:space="0"/>
            </w:tcBorders>
            <w:vAlign w:val="center"/>
          </w:tcPr>
          <w:p>
            <w:pPr>
              <w:pStyle w:val="34"/>
              <w:rPr>
                <w:color w:val="auto"/>
                <w:highlight w:val="none"/>
              </w:rPr>
            </w:pPr>
            <w:r>
              <w:rPr>
                <w:color w:val="auto"/>
                <w:highlight w:val="none"/>
              </w:rPr>
              <w:t>2</w:t>
            </w:r>
          </w:p>
        </w:tc>
        <w:tc>
          <w:tcPr>
            <w:tcW w:w="1716" w:type="dxa"/>
            <w:tcBorders>
              <w:top w:val="double" w:color="auto" w:sz="4" w:space="0"/>
            </w:tcBorders>
          </w:tcPr>
          <w:p>
            <w:pPr>
              <w:pStyle w:val="34"/>
              <w:rPr>
                <w:color w:val="auto"/>
                <w:highlight w:val="none"/>
              </w:rPr>
            </w:pPr>
            <w:r>
              <w:rPr>
                <w:rFonts w:hint="eastAsia"/>
                <w:color w:val="auto"/>
                <w:highlight w:val="none"/>
              </w:rPr>
              <w:t>100</w:t>
            </w:r>
          </w:p>
        </w:tc>
        <w:tc>
          <w:tcPr>
            <w:tcW w:w="1097" w:type="dxa"/>
            <w:tcBorders>
              <w:top w:val="double" w:color="auto" w:sz="4" w:space="0"/>
            </w:tcBorders>
            <w:vAlign w:val="center"/>
          </w:tcPr>
          <w:p>
            <w:pPr>
              <w:pStyle w:val="34"/>
              <w:rPr>
                <w:color w:val="A5A5A5" w:themeColor="background1" w:themeShade="A6"/>
                <w:highlight w:val="none"/>
              </w:rPr>
            </w:pPr>
            <w:r>
              <w:rPr>
                <w:color w:val="A5A5A5" w:themeColor="background1" w:themeShade="A6"/>
                <w:highlight w:val="none"/>
              </w:rPr>
              <w:t>0</w:t>
            </w:r>
          </w:p>
        </w:tc>
        <w:tc>
          <w:tcPr>
            <w:tcW w:w="1097" w:type="dxa"/>
            <w:tcBorders>
              <w:top w:val="double" w:color="auto" w:sz="4" w:space="0"/>
            </w:tcBorders>
          </w:tcPr>
          <w:p>
            <w:pPr>
              <w:pStyle w:val="12"/>
              <w:jc w:val="center"/>
              <w:rPr>
                <w:color w:val="auto"/>
                <w:highlight w:val="none"/>
              </w:rPr>
            </w:pPr>
            <w:r>
              <w:rPr>
                <w:iCs/>
                <w:color w:val="auto"/>
                <w:highlight w:val="none"/>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130</w:t>
            </w:r>
          </w:p>
        </w:tc>
        <w:tc>
          <w:tcPr>
            <w:tcW w:w="1097" w:type="dxa"/>
            <w:vAlign w:val="center"/>
          </w:tcPr>
          <w:p>
            <w:pPr>
              <w:pStyle w:val="34"/>
              <w:rPr>
                <w:color w:val="A5A5A5" w:themeColor="background1" w:themeShade="A6"/>
                <w:highlight w:val="none"/>
              </w:rPr>
            </w:pPr>
            <w:r>
              <w:rPr>
                <w:color w:val="A5A5A5" w:themeColor="background1" w:themeShade="A6"/>
                <w:highlight w:val="none"/>
              </w:rPr>
              <w:t>1</w:t>
            </w:r>
          </w:p>
        </w:tc>
        <w:tc>
          <w:tcPr>
            <w:tcW w:w="1097" w:type="dxa"/>
          </w:tcPr>
          <w:p>
            <w:pPr>
              <w:pStyle w:val="12"/>
              <w:jc w:val="center"/>
              <w:rPr>
                <w:color w:val="auto"/>
                <w:highlight w:val="none"/>
              </w:rPr>
            </w:pPr>
            <w:r>
              <w:rPr>
                <w:iCs/>
                <w:color w:val="auto"/>
                <w:highlight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161</w:t>
            </w:r>
          </w:p>
        </w:tc>
        <w:tc>
          <w:tcPr>
            <w:tcW w:w="1097" w:type="dxa"/>
            <w:vAlign w:val="center"/>
          </w:tcPr>
          <w:p>
            <w:pPr>
              <w:pStyle w:val="34"/>
              <w:rPr>
                <w:color w:val="A5A5A5" w:themeColor="background1" w:themeShade="A6"/>
                <w:highlight w:val="none"/>
              </w:rPr>
            </w:pPr>
            <w:r>
              <w:rPr>
                <w:color w:val="A5A5A5" w:themeColor="background1" w:themeShade="A6"/>
                <w:highlight w:val="none"/>
              </w:rPr>
              <w:t>2</w:t>
            </w:r>
          </w:p>
        </w:tc>
        <w:tc>
          <w:tcPr>
            <w:tcW w:w="1097" w:type="dxa"/>
          </w:tcPr>
          <w:p>
            <w:pPr>
              <w:pStyle w:val="12"/>
              <w:jc w:val="center"/>
              <w:rPr>
                <w:color w:val="auto"/>
                <w:highlight w:val="none"/>
              </w:rPr>
            </w:pPr>
            <w:r>
              <w:rPr>
                <w:iCs/>
                <w:color w:val="auto"/>
                <w:highlight w:val="none"/>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209</w:t>
            </w:r>
          </w:p>
        </w:tc>
        <w:tc>
          <w:tcPr>
            <w:tcW w:w="1097" w:type="dxa"/>
            <w:vAlign w:val="center"/>
          </w:tcPr>
          <w:p>
            <w:pPr>
              <w:pStyle w:val="34"/>
              <w:rPr>
                <w:color w:val="A5A5A5" w:themeColor="background1" w:themeShade="A6"/>
                <w:highlight w:val="none"/>
              </w:rPr>
            </w:pPr>
            <w:r>
              <w:rPr>
                <w:color w:val="A5A5A5" w:themeColor="background1" w:themeShade="A6"/>
                <w:highlight w:val="none"/>
              </w:rPr>
              <w:t>3</w:t>
            </w:r>
          </w:p>
        </w:tc>
        <w:tc>
          <w:tcPr>
            <w:tcW w:w="1097" w:type="dxa"/>
          </w:tcPr>
          <w:p>
            <w:pPr>
              <w:pStyle w:val="12"/>
              <w:jc w:val="center"/>
              <w:rPr>
                <w:color w:val="auto"/>
                <w:highlight w:val="none"/>
              </w:rPr>
            </w:pPr>
            <w:r>
              <w:rPr>
                <w:iCs/>
                <w:color w:val="auto"/>
                <w:highlight w:val="none"/>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4</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257</w:t>
            </w:r>
          </w:p>
        </w:tc>
        <w:tc>
          <w:tcPr>
            <w:tcW w:w="1097" w:type="dxa"/>
            <w:vAlign w:val="center"/>
          </w:tcPr>
          <w:p>
            <w:pPr>
              <w:pStyle w:val="34"/>
              <w:rPr>
                <w:color w:val="A5A5A5" w:themeColor="background1" w:themeShade="A6"/>
                <w:highlight w:val="none"/>
              </w:rPr>
            </w:pPr>
            <w:r>
              <w:rPr>
                <w:color w:val="A5A5A5" w:themeColor="background1" w:themeShade="A6"/>
                <w:highlight w:val="none"/>
              </w:rPr>
              <w:t>4</w:t>
            </w:r>
          </w:p>
        </w:tc>
        <w:tc>
          <w:tcPr>
            <w:tcW w:w="1097" w:type="dxa"/>
          </w:tcPr>
          <w:p>
            <w:pPr>
              <w:pStyle w:val="12"/>
              <w:jc w:val="center"/>
              <w:rPr>
                <w:color w:val="auto"/>
                <w:highlight w:val="none"/>
              </w:rPr>
            </w:pPr>
            <w:r>
              <w:rPr>
                <w:iCs/>
                <w:color w:val="auto"/>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5</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315</w:t>
            </w:r>
          </w:p>
        </w:tc>
        <w:tc>
          <w:tcPr>
            <w:tcW w:w="1097" w:type="dxa"/>
            <w:vAlign w:val="center"/>
          </w:tcPr>
          <w:p>
            <w:pPr>
              <w:pStyle w:val="34"/>
              <w:rPr>
                <w:color w:val="A5A5A5" w:themeColor="background1" w:themeShade="A6"/>
                <w:highlight w:val="none"/>
              </w:rPr>
            </w:pPr>
            <w:r>
              <w:rPr>
                <w:color w:val="A5A5A5" w:themeColor="background1" w:themeShade="A6"/>
                <w:highlight w:val="none"/>
              </w:rPr>
              <w:t>5</w:t>
            </w:r>
          </w:p>
        </w:tc>
        <w:tc>
          <w:tcPr>
            <w:tcW w:w="1097" w:type="dxa"/>
          </w:tcPr>
          <w:p>
            <w:pPr>
              <w:pStyle w:val="12"/>
              <w:jc w:val="center"/>
              <w:rPr>
                <w:color w:val="auto"/>
                <w:highlight w:val="none"/>
              </w:rPr>
            </w:pPr>
            <w:r>
              <w:rPr>
                <w:iCs/>
                <w:color w:val="auto"/>
                <w:highlight w:val="none"/>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6</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374</w:t>
            </w:r>
          </w:p>
        </w:tc>
        <w:tc>
          <w:tcPr>
            <w:tcW w:w="1097" w:type="dxa"/>
            <w:vAlign w:val="center"/>
          </w:tcPr>
          <w:p>
            <w:pPr>
              <w:pStyle w:val="34"/>
              <w:rPr>
                <w:color w:val="A5A5A5" w:themeColor="background1" w:themeShade="A6"/>
                <w:highlight w:val="none"/>
              </w:rPr>
            </w:pPr>
            <w:r>
              <w:rPr>
                <w:color w:val="A5A5A5" w:themeColor="background1" w:themeShade="A6"/>
                <w:highlight w:val="none"/>
              </w:rPr>
              <w:t>6</w:t>
            </w:r>
          </w:p>
        </w:tc>
        <w:tc>
          <w:tcPr>
            <w:tcW w:w="1097" w:type="dxa"/>
          </w:tcPr>
          <w:p>
            <w:pPr>
              <w:pStyle w:val="12"/>
              <w:jc w:val="center"/>
              <w:rPr>
                <w:color w:val="auto"/>
                <w:highlight w:val="none"/>
              </w:rPr>
            </w:pPr>
            <w:r>
              <w:rPr>
                <w:iCs/>
                <w:color w:val="auto"/>
                <w:highlight w:val="none"/>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7</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438</w:t>
            </w:r>
          </w:p>
        </w:tc>
        <w:tc>
          <w:tcPr>
            <w:tcW w:w="1097" w:type="dxa"/>
            <w:vAlign w:val="center"/>
          </w:tcPr>
          <w:p>
            <w:pPr>
              <w:pStyle w:val="34"/>
              <w:rPr>
                <w:color w:val="A5A5A5" w:themeColor="background1" w:themeShade="A6"/>
                <w:highlight w:val="none"/>
              </w:rPr>
            </w:pPr>
            <w:r>
              <w:rPr>
                <w:color w:val="A5A5A5" w:themeColor="background1" w:themeShade="A6"/>
                <w:highlight w:val="none"/>
              </w:rPr>
              <w:t>7</w:t>
            </w:r>
          </w:p>
        </w:tc>
        <w:tc>
          <w:tcPr>
            <w:tcW w:w="1097" w:type="dxa"/>
          </w:tcPr>
          <w:p>
            <w:pPr>
              <w:pStyle w:val="12"/>
              <w:jc w:val="center"/>
              <w:rPr>
                <w:color w:val="auto"/>
                <w:highlight w:val="none"/>
              </w:rPr>
            </w:pPr>
            <w:r>
              <w:rPr>
                <w:iCs/>
                <w:color w:val="auto"/>
                <w:highlight w:val="none"/>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8</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502</w:t>
            </w:r>
          </w:p>
        </w:tc>
        <w:tc>
          <w:tcPr>
            <w:tcW w:w="1097" w:type="dxa"/>
            <w:vAlign w:val="center"/>
          </w:tcPr>
          <w:p>
            <w:pPr>
              <w:pStyle w:val="34"/>
              <w:rPr>
                <w:color w:val="A5A5A5" w:themeColor="background1" w:themeShade="A6"/>
                <w:highlight w:val="none"/>
              </w:rPr>
            </w:pPr>
            <w:r>
              <w:rPr>
                <w:color w:val="A5A5A5" w:themeColor="background1" w:themeShade="A6"/>
                <w:highlight w:val="none"/>
              </w:rPr>
              <w:t>8</w:t>
            </w:r>
          </w:p>
        </w:tc>
        <w:tc>
          <w:tcPr>
            <w:tcW w:w="1097" w:type="dxa"/>
          </w:tcPr>
          <w:p>
            <w:pPr>
              <w:pStyle w:val="12"/>
              <w:jc w:val="center"/>
              <w:rPr>
                <w:color w:val="auto"/>
                <w:highlight w:val="none"/>
              </w:rPr>
            </w:pPr>
            <w:r>
              <w:rPr>
                <w:iCs/>
                <w:color w:val="auto"/>
                <w:highlight w:val="none"/>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9</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rFonts w:hint="eastAsia"/>
                <w:color w:val="auto"/>
                <w:highlight w:val="none"/>
              </w:rPr>
              <w:t>566</w:t>
            </w:r>
          </w:p>
        </w:tc>
        <w:tc>
          <w:tcPr>
            <w:tcW w:w="1097" w:type="dxa"/>
            <w:vAlign w:val="center"/>
          </w:tcPr>
          <w:p>
            <w:pPr>
              <w:pStyle w:val="34"/>
              <w:rPr>
                <w:color w:val="A5A5A5" w:themeColor="background1" w:themeShade="A6"/>
                <w:highlight w:val="none"/>
              </w:rPr>
            </w:pPr>
            <w:r>
              <w:rPr>
                <w:color w:val="A5A5A5" w:themeColor="background1" w:themeShade="A6"/>
                <w:highlight w:val="none"/>
              </w:rPr>
              <w:t>9</w:t>
            </w:r>
          </w:p>
        </w:tc>
        <w:tc>
          <w:tcPr>
            <w:tcW w:w="1097" w:type="dxa"/>
          </w:tcPr>
          <w:p>
            <w:pPr>
              <w:pStyle w:val="12"/>
              <w:jc w:val="center"/>
              <w:rPr>
                <w:color w:val="auto"/>
                <w:highlight w:val="none"/>
              </w:rPr>
            </w:pPr>
            <w:r>
              <w:rPr>
                <w:iCs/>
                <w:color w:val="auto"/>
                <w:highlight w:val="none"/>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10</w:t>
            </w:r>
          </w:p>
        </w:tc>
        <w:tc>
          <w:tcPr>
            <w:tcW w:w="1716" w:type="dxa"/>
            <w:tcBorders>
              <w:left w:val="double" w:color="auto" w:sz="4" w:space="0"/>
            </w:tcBorders>
            <w:vAlign w:val="center"/>
          </w:tcPr>
          <w:p>
            <w:pPr>
              <w:pStyle w:val="34"/>
              <w:rPr>
                <w:color w:val="auto"/>
                <w:highlight w:val="none"/>
              </w:rPr>
            </w:pPr>
            <w:r>
              <w:rPr>
                <w:rFonts w:hint="eastAsia"/>
                <w:color w:val="auto"/>
                <w:highlight w:val="none"/>
              </w:rPr>
              <w:t>2</w:t>
            </w:r>
          </w:p>
        </w:tc>
        <w:tc>
          <w:tcPr>
            <w:tcW w:w="1716" w:type="dxa"/>
          </w:tcPr>
          <w:p>
            <w:pPr>
              <w:pStyle w:val="34"/>
              <w:rPr>
                <w:color w:val="auto"/>
                <w:highlight w:val="none"/>
              </w:rPr>
            </w:pPr>
            <w:r>
              <w:rPr>
                <w:rFonts w:hint="eastAsia"/>
                <w:color w:val="auto"/>
                <w:highlight w:val="none"/>
              </w:rPr>
              <w:t>630</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10</w:t>
            </w:r>
          </w:p>
        </w:tc>
        <w:tc>
          <w:tcPr>
            <w:tcW w:w="1097" w:type="dxa"/>
          </w:tcPr>
          <w:p>
            <w:pPr>
              <w:pStyle w:val="12"/>
              <w:jc w:val="center"/>
              <w:rPr>
                <w:color w:val="auto"/>
                <w:highlight w:val="none"/>
              </w:rPr>
            </w:pPr>
            <w:r>
              <w:rPr>
                <w:iCs/>
                <w:color w:val="auto"/>
                <w:highlight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11</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315</w:t>
            </w:r>
          </w:p>
        </w:tc>
        <w:tc>
          <w:tcPr>
            <w:tcW w:w="1097" w:type="dxa"/>
            <w:vAlign w:val="center"/>
          </w:tcPr>
          <w:p>
            <w:pPr>
              <w:pStyle w:val="34"/>
              <w:rPr>
                <w:color w:val="A5A5A5" w:themeColor="background1" w:themeShade="A6"/>
                <w:highlight w:val="none"/>
              </w:rPr>
            </w:pPr>
            <w:r>
              <w:rPr>
                <w:color w:val="A5A5A5" w:themeColor="background1" w:themeShade="A6"/>
                <w:highlight w:val="none"/>
              </w:rPr>
              <w:t>10</w:t>
            </w:r>
          </w:p>
        </w:tc>
        <w:tc>
          <w:tcPr>
            <w:tcW w:w="1097" w:type="dxa"/>
          </w:tcPr>
          <w:p>
            <w:pPr>
              <w:pStyle w:val="12"/>
              <w:jc w:val="center"/>
              <w:rPr>
                <w:color w:val="auto"/>
                <w:highlight w:val="none"/>
              </w:rPr>
            </w:pPr>
            <w:r>
              <w:rPr>
                <w:iCs/>
                <w:color w:val="auto"/>
                <w:highlight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12</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362</w:t>
            </w:r>
          </w:p>
        </w:tc>
        <w:tc>
          <w:tcPr>
            <w:tcW w:w="1097" w:type="dxa"/>
            <w:vAlign w:val="center"/>
          </w:tcPr>
          <w:p>
            <w:pPr>
              <w:pStyle w:val="34"/>
              <w:rPr>
                <w:color w:val="A5A5A5" w:themeColor="background1" w:themeShade="A6"/>
                <w:highlight w:val="none"/>
              </w:rPr>
            </w:pPr>
            <w:r>
              <w:rPr>
                <w:color w:val="A5A5A5" w:themeColor="background1" w:themeShade="A6"/>
                <w:highlight w:val="none"/>
              </w:rPr>
              <w:t>11</w:t>
            </w:r>
          </w:p>
        </w:tc>
        <w:tc>
          <w:tcPr>
            <w:tcW w:w="1097" w:type="dxa"/>
          </w:tcPr>
          <w:p>
            <w:pPr>
              <w:pStyle w:val="12"/>
              <w:jc w:val="center"/>
              <w:rPr>
                <w:color w:val="auto"/>
                <w:highlight w:val="none"/>
              </w:rPr>
            </w:pPr>
            <w:r>
              <w:rPr>
                <w:iCs/>
                <w:color w:val="auto"/>
                <w:highlight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13</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408</w:t>
            </w:r>
          </w:p>
        </w:tc>
        <w:tc>
          <w:tcPr>
            <w:tcW w:w="1097" w:type="dxa"/>
            <w:vAlign w:val="center"/>
          </w:tcPr>
          <w:p>
            <w:pPr>
              <w:pStyle w:val="34"/>
              <w:rPr>
                <w:color w:val="A5A5A5" w:themeColor="background1" w:themeShade="A6"/>
                <w:highlight w:val="none"/>
              </w:rPr>
            </w:pPr>
            <w:r>
              <w:rPr>
                <w:color w:val="A5A5A5" w:themeColor="background1" w:themeShade="A6"/>
                <w:highlight w:val="none"/>
              </w:rPr>
              <w:t>12</w:t>
            </w:r>
          </w:p>
        </w:tc>
        <w:tc>
          <w:tcPr>
            <w:tcW w:w="1097" w:type="dxa"/>
          </w:tcPr>
          <w:p>
            <w:pPr>
              <w:pStyle w:val="12"/>
              <w:jc w:val="center"/>
              <w:rPr>
                <w:color w:val="auto"/>
                <w:highlight w:val="none"/>
              </w:rPr>
            </w:pPr>
            <w:r>
              <w:rPr>
                <w:iCs/>
                <w:color w:val="auto"/>
                <w:highlight w:val="non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14</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461</w:t>
            </w:r>
          </w:p>
        </w:tc>
        <w:tc>
          <w:tcPr>
            <w:tcW w:w="1097" w:type="dxa"/>
            <w:vAlign w:val="center"/>
          </w:tcPr>
          <w:p>
            <w:pPr>
              <w:pStyle w:val="34"/>
              <w:rPr>
                <w:color w:val="A5A5A5" w:themeColor="background1" w:themeShade="A6"/>
                <w:highlight w:val="none"/>
              </w:rPr>
            </w:pPr>
            <w:r>
              <w:rPr>
                <w:color w:val="A5A5A5" w:themeColor="background1" w:themeShade="A6"/>
                <w:highlight w:val="none"/>
              </w:rPr>
              <w:t>13</w:t>
            </w:r>
          </w:p>
        </w:tc>
        <w:tc>
          <w:tcPr>
            <w:tcW w:w="1097" w:type="dxa"/>
          </w:tcPr>
          <w:p>
            <w:pPr>
              <w:pStyle w:val="12"/>
              <w:jc w:val="center"/>
              <w:rPr>
                <w:color w:val="auto"/>
                <w:highlight w:val="none"/>
              </w:rPr>
            </w:pPr>
            <w:r>
              <w:rPr>
                <w:iCs/>
                <w:color w:val="auto"/>
                <w:highlight w:val="non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15</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513</w:t>
            </w:r>
          </w:p>
        </w:tc>
        <w:tc>
          <w:tcPr>
            <w:tcW w:w="1097" w:type="dxa"/>
            <w:vAlign w:val="center"/>
          </w:tcPr>
          <w:p>
            <w:pPr>
              <w:pStyle w:val="34"/>
              <w:rPr>
                <w:color w:val="A5A5A5" w:themeColor="background1" w:themeShade="A6"/>
                <w:highlight w:val="none"/>
              </w:rPr>
            </w:pPr>
            <w:r>
              <w:rPr>
                <w:color w:val="A5A5A5" w:themeColor="background1" w:themeShade="A6"/>
                <w:highlight w:val="none"/>
              </w:rPr>
              <w:t>14</w:t>
            </w:r>
          </w:p>
        </w:tc>
        <w:tc>
          <w:tcPr>
            <w:tcW w:w="1097" w:type="dxa"/>
          </w:tcPr>
          <w:p>
            <w:pPr>
              <w:pStyle w:val="12"/>
              <w:jc w:val="center"/>
              <w:rPr>
                <w:color w:val="auto"/>
                <w:highlight w:val="none"/>
              </w:rPr>
            </w:pPr>
            <w:r>
              <w:rPr>
                <w:iCs/>
                <w:color w:val="auto"/>
                <w:highlight w:val="non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16</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rFonts w:hint="eastAsia"/>
                <w:color w:val="auto"/>
                <w:highlight w:val="none"/>
              </w:rPr>
              <w:t>548</w:t>
            </w:r>
          </w:p>
        </w:tc>
        <w:tc>
          <w:tcPr>
            <w:tcW w:w="1097" w:type="dxa"/>
            <w:vAlign w:val="center"/>
          </w:tcPr>
          <w:p>
            <w:pPr>
              <w:pStyle w:val="34"/>
              <w:rPr>
                <w:color w:val="A5A5A5" w:themeColor="background1" w:themeShade="A6"/>
                <w:highlight w:val="none"/>
              </w:rPr>
            </w:pPr>
            <w:r>
              <w:rPr>
                <w:color w:val="A5A5A5" w:themeColor="background1" w:themeShade="A6"/>
                <w:highlight w:val="none"/>
              </w:rPr>
              <w:t>15</w:t>
            </w:r>
          </w:p>
        </w:tc>
        <w:tc>
          <w:tcPr>
            <w:tcW w:w="1097" w:type="dxa"/>
          </w:tcPr>
          <w:p>
            <w:pPr>
              <w:pStyle w:val="12"/>
              <w:jc w:val="center"/>
              <w:rPr>
                <w:color w:val="auto"/>
                <w:highlight w:val="none"/>
              </w:rPr>
            </w:pPr>
            <w:r>
              <w:rPr>
                <w:iCs/>
                <w:color w:val="auto"/>
                <w:highlight w:val="none"/>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17</w:t>
            </w:r>
          </w:p>
        </w:tc>
        <w:tc>
          <w:tcPr>
            <w:tcW w:w="1716" w:type="dxa"/>
            <w:tcBorders>
              <w:left w:val="double" w:color="auto" w:sz="4" w:space="0"/>
            </w:tcBorders>
            <w:vAlign w:val="center"/>
          </w:tcPr>
          <w:p>
            <w:pPr>
              <w:pStyle w:val="34"/>
              <w:rPr>
                <w:color w:val="auto"/>
                <w:highlight w:val="none"/>
              </w:rPr>
            </w:pPr>
            <w:r>
              <w:rPr>
                <w:rFonts w:hint="eastAsia"/>
                <w:color w:val="auto"/>
                <w:highlight w:val="none"/>
              </w:rPr>
              <w:t>4</w:t>
            </w:r>
          </w:p>
        </w:tc>
        <w:tc>
          <w:tcPr>
            <w:tcW w:w="1716" w:type="dxa"/>
          </w:tcPr>
          <w:p>
            <w:pPr>
              <w:pStyle w:val="34"/>
              <w:rPr>
                <w:color w:val="auto"/>
                <w:highlight w:val="none"/>
              </w:rPr>
            </w:pPr>
            <w:r>
              <w:rPr>
                <w:rFonts w:hint="eastAsia"/>
                <w:color w:val="auto"/>
                <w:highlight w:val="none"/>
              </w:rPr>
              <w:t>583</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16</w:t>
            </w:r>
          </w:p>
        </w:tc>
        <w:tc>
          <w:tcPr>
            <w:tcW w:w="1097" w:type="dxa"/>
          </w:tcPr>
          <w:p>
            <w:pPr>
              <w:pStyle w:val="12"/>
              <w:jc w:val="center"/>
              <w:rPr>
                <w:color w:val="auto"/>
                <w:highlight w:val="none"/>
              </w:rPr>
            </w:pPr>
            <w:r>
              <w:rPr>
                <w:iCs/>
                <w:color w:val="auto"/>
                <w:highlight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18</w:t>
            </w:r>
          </w:p>
        </w:tc>
        <w:tc>
          <w:tcPr>
            <w:tcW w:w="1716" w:type="dxa"/>
            <w:tcBorders>
              <w:left w:val="double" w:color="auto" w:sz="4" w:space="0"/>
            </w:tcBorders>
            <w:vAlign w:val="center"/>
          </w:tcPr>
          <w:p>
            <w:pPr>
              <w:pStyle w:val="34"/>
              <w:rPr>
                <w:color w:val="auto"/>
                <w:highlight w:val="none"/>
              </w:rPr>
            </w:pPr>
            <w:r>
              <w:rPr>
                <w:rFonts w:hint="eastAsia"/>
                <w:color w:val="auto"/>
                <w:highlight w:val="none"/>
              </w:rPr>
              <w:t>4</w:t>
            </w:r>
          </w:p>
        </w:tc>
        <w:tc>
          <w:tcPr>
            <w:tcW w:w="1716" w:type="dxa"/>
          </w:tcPr>
          <w:p>
            <w:pPr>
              <w:pStyle w:val="34"/>
              <w:rPr>
                <w:color w:val="auto"/>
                <w:highlight w:val="none"/>
              </w:rPr>
            </w:pPr>
            <w:r>
              <w:rPr>
                <w:rFonts w:hint="eastAsia"/>
                <w:color w:val="auto"/>
                <w:highlight w:val="none"/>
              </w:rPr>
              <w:t>646</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17</w:t>
            </w:r>
          </w:p>
        </w:tc>
        <w:tc>
          <w:tcPr>
            <w:tcW w:w="1097" w:type="dxa"/>
          </w:tcPr>
          <w:p>
            <w:pPr>
              <w:pStyle w:val="12"/>
              <w:jc w:val="center"/>
              <w:rPr>
                <w:color w:val="auto"/>
                <w:highlight w:val="none"/>
              </w:rPr>
            </w:pPr>
            <w:r>
              <w:rPr>
                <w:iCs/>
                <w:color w:val="auto"/>
                <w:highlight w:val="none"/>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19</w:t>
            </w:r>
          </w:p>
        </w:tc>
        <w:tc>
          <w:tcPr>
            <w:tcW w:w="1716" w:type="dxa"/>
            <w:tcBorders>
              <w:left w:val="double" w:color="auto" w:sz="4" w:space="0"/>
            </w:tcBorders>
            <w:vAlign w:val="center"/>
          </w:tcPr>
          <w:p>
            <w:pPr>
              <w:pStyle w:val="34"/>
              <w:rPr>
                <w:color w:val="auto"/>
                <w:highlight w:val="none"/>
              </w:rPr>
            </w:pPr>
            <w:r>
              <w:rPr>
                <w:rFonts w:hint="eastAsia"/>
                <w:color w:val="auto"/>
                <w:highlight w:val="none"/>
              </w:rPr>
              <w:t>4</w:t>
            </w:r>
          </w:p>
        </w:tc>
        <w:tc>
          <w:tcPr>
            <w:tcW w:w="1716" w:type="dxa"/>
          </w:tcPr>
          <w:p>
            <w:pPr>
              <w:pStyle w:val="34"/>
              <w:rPr>
                <w:color w:val="auto"/>
                <w:highlight w:val="none"/>
              </w:rPr>
            </w:pPr>
            <w:r>
              <w:rPr>
                <w:rFonts w:hint="eastAsia"/>
                <w:color w:val="auto"/>
                <w:highlight w:val="none"/>
              </w:rPr>
              <w:t>709</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18</w:t>
            </w:r>
          </w:p>
        </w:tc>
        <w:tc>
          <w:tcPr>
            <w:tcW w:w="1097" w:type="dxa"/>
          </w:tcPr>
          <w:p>
            <w:pPr>
              <w:pStyle w:val="12"/>
              <w:jc w:val="center"/>
              <w:rPr>
                <w:color w:val="auto"/>
                <w:highlight w:val="none"/>
              </w:rPr>
            </w:pPr>
            <w:r>
              <w:rPr>
                <w:iCs/>
                <w:color w:val="auto"/>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20</w:t>
            </w:r>
          </w:p>
        </w:tc>
        <w:tc>
          <w:tcPr>
            <w:tcW w:w="1716" w:type="dxa"/>
            <w:tcBorders>
              <w:left w:val="double" w:color="auto" w:sz="4" w:space="0"/>
            </w:tcBorders>
            <w:vAlign w:val="center"/>
          </w:tcPr>
          <w:p>
            <w:pPr>
              <w:pStyle w:val="34"/>
              <w:rPr>
                <w:color w:val="auto"/>
                <w:highlight w:val="none"/>
              </w:rPr>
            </w:pPr>
            <w:r>
              <w:rPr>
                <w:rFonts w:hint="eastAsia"/>
                <w:color w:val="auto"/>
                <w:highlight w:val="none"/>
              </w:rPr>
              <w:t>4</w:t>
            </w:r>
          </w:p>
        </w:tc>
        <w:tc>
          <w:tcPr>
            <w:tcW w:w="1716" w:type="dxa"/>
          </w:tcPr>
          <w:p>
            <w:pPr>
              <w:pStyle w:val="34"/>
              <w:rPr>
                <w:color w:val="auto"/>
                <w:highlight w:val="none"/>
              </w:rPr>
            </w:pPr>
            <w:r>
              <w:rPr>
                <w:rFonts w:hint="eastAsia"/>
                <w:color w:val="auto"/>
                <w:highlight w:val="none"/>
              </w:rPr>
              <w:t>771</w:t>
            </w:r>
          </w:p>
        </w:tc>
        <w:tc>
          <w:tcPr>
            <w:tcW w:w="1097" w:type="dxa"/>
            <w:vAlign w:val="center"/>
          </w:tcPr>
          <w:p>
            <w:pPr>
              <w:pStyle w:val="34"/>
              <w:rPr>
                <w:color w:val="A5A5A5" w:themeColor="background1" w:themeShade="A6"/>
                <w:highlight w:val="none"/>
              </w:rPr>
            </w:pPr>
            <w:r>
              <w:rPr>
                <w:color w:val="A5A5A5" w:themeColor="background1" w:themeShade="A6"/>
                <w:highlight w:val="none"/>
              </w:rPr>
              <w:t>1</w:t>
            </w:r>
            <w:r>
              <w:rPr>
                <w:rFonts w:hint="eastAsia"/>
                <w:color w:val="A5A5A5" w:themeColor="background1" w:themeShade="A6"/>
                <w:highlight w:val="none"/>
              </w:rPr>
              <w:t>9</w:t>
            </w:r>
          </w:p>
        </w:tc>
        <w:tc>
          <w:tcPr>
            <w:tcW w:w="1097" w:type="dxa"/>
          </w:tcPr>
          <w:p>
            <w:pPr>
              <w:pStyle w:val="12"/>
              <w:jc w:val="center"/>
              <w:rPr>
                <w:color w:val="auto"/>
                <w:highlight w:val="none"/>
              </w:rPr>
            </w:pPr>
            <w:r>
              <w:rPr>
                <w:iCs/>
                <w:color w:val="auto"/>
                <w:highlight w:val="none"/>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21</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514</w:t>
            </w:r>
          </w:p>
        </w:tc>
        <w:tc>
          <w:tcPr>
            <w:tcW w:w="1097" w:type="dxa"/>
            <w:vAlign w:val="center"/>
          </w:tcPr>
          <w:p>
            <w:pPr>
              <w:pStyle w:val="34"/>
              <w:rPr>
                <w:color w:val="A5A5A5" w:themeColor="background1" w:themeShade="A6"/>
                <w:highlight w:val="none"/>
              </w:rPr>
            </w:pPr>
            <w:r>
              <w:rPr>
                <w:color w:val="A5A5A5" w:themeColor="background1" w:themeShade="A6"/>
                <w:highlight w:val="none"/>
              </w:rPr>
              <w:t>19</w:t>
            </w:r>
          </w:p>
        </w:tc>
        <w:tc>
          <w:tcPr>
            <w:tcW w:w="1097" w:type="dxa"/>
          </w:tcPr>
          <w:p>
            <w:pPr>
              <w:pStyle w:val="12"/>
              <w:jc w:val="center"/>
              <w:rPr>
                <w:color w:val="auto"/>
                <w:highlight w:val="none"/>
              </w:rPr>
            </w:pPr>
            <w:r>
              <w:rPr>
                <w:iCs/>
                <w:color w:val="auto"/>
                <w:highlight w:val="none"/>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22</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555</w:t>
            </w:r>
          </w:p>
        </w:tc>
        <w:tc>
          <w:tcPr>
            <w:tcW w:w="1097" w:type="dxa"/>
            <w:vAlign w:val="center"/>
          </w:tcPr>
          <w:p>
            <w:pPr>
              <w:pStyle w:val="34"/>
              <w:rPr>
                <w:color w:val="A5A5A5" w:themeColor="background1" w:themeShade="A6"/>
                <w:highlight w:val="none"/>
              </w:rPr>
            </w:pPr>
            <w:r>
              <w:rPr>
                <w:color w:val="A5A5A5" w:themeColor="background1" w:themeShade="A6"/>
                <w:highlight w:val="none"/>
              </w:rPr>
              <w:t>20</w:t>
            </w:r>
          </w:p>
        </w:tc>
        <w:tc>
          <w:tcPr>
            <w:tcW w:w="1097" w:type="dxa"/>
          </w:tcPr>
          <w:p>
            <w:pPr>
              <w:pStyle w:val="12"/>
              <w:jc w:val="center"/>
              <w:rPr>
                <w:color w:val="auto"/>
                <w:highlight w:val="none"/>
              </w:rPr>
            </w:pPr>
            <w:r>
              <w:rPr>
                <w:iCs/>
                <w:color w:val="auto"/>
                <w:highlight w:val="non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23</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599</w:t>
            </w:r>
          </w:p>
        </w:tc>
        <w:tc>
          <w:tcPr>
            <w:tcW w:w="1097" w:type="dxa"/>
            <w:vAlign w:val="center"/>
          </w:tcPr>
          <w:p>
            <w:pPr>
              <w:pStyle w:val="34"/>
              <w:rPr>
                <w:color w:val="A5A5A5" w:themeColor="background1" w:themeShade="A6"/>
                <w:highlight w:val="none"/>
              </w:rPr>
            </w:pPr>
            <w:r>
              <w:rPr>
                <w:color w:val="A5A5A5" w:themeColor="background1" w:themeShade="A6"/>
                <w:highlight w:val="none"/>
              </w:rPr>
              <w:t>21</w:t>
            </w:r>
          </w:p>
        </w:tc>
        <w:tc>
          <w:tcPr>
            <w:tcW w:w="1097" w:type="dxa"/>
          </w:tcPr>
          <w:p>
            <w:pPr>
              <w:pStyle w:val="12"/>
              <w:jc w:val="center"/>
              <w:rPr>
                <w:color w:val="auto"/>
                <w:highlight w:val="none"/>
              </w:rPr>
            </w:pPr>
            <w:r>
              <w:rPr>
                <w:iCs/>
                <w:color w:val="auto"/>
                <w:highlight w:val="none"/>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24</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643</w:t>
            </w:r>
          </w:p>
        </w:tc>
        <w:tc>
          <w:tcPr>
            <w:tcW w:w="1097" w:type="dxa"/>
            <w:vAlign w:val="center"/>
          </w:tcPr>
          <w:p>
            <w:pPr>
              <w:pStyle w:val="34"/>
              <w:rPr>
                <w:color w:val="A5A5A5" w:themeColor="background1" w:themeShade="A6"/>
                <w:highlight w:val="none"/>
              </w:rPr>
            </w:pPr>
            <w:r>
              <w:rPr>
                <w:color w:val="A5A5A5" w:themeColor="background1" w:themeShade="A6"/>
                <w:highlight w:val="none"/>
              </w:rPr>
              <w:t>22</w:t>
            </w:r>
          </w:p>
        </w:tc>
        <w:tc>
          <w:tcPr>
            <w:tcW w:w="1097" w:type="dxa"/>
          </w:tcPr>
          <w:p>
            <w:pPr>
              <w:pStyle w:val="12"/>
              <w:jc w:val="center"/>
              <w:rPr>
                <w:color w:val="auto"/>
                <w:highlight w:val="none"/>
              </w:rPr>
            </w:pPr>
            <w:r>
              <w:rPr>
                <w:iCs/>
                <w:color w:val="auto"/>
                <w:highlight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25</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685</w:t>
            </w:r>
          </w:p>
        </w:tc>
        <w:tc>
          <w:tcPr>
            <w:tcW w:w="1097" w:type="dxa"/>
            <w:vAlign w:val="center"/>
          </w:tcPr>
          <w:p>
            <w:pPr>
              <w:pStyle w:val="34"/>
              <w:rPr>
                <w:color w:val="A5A5A5" w:themeColor="background1" w:themeShade="A6"/>
                <w:highlight w:val="none"/>
              </w:rPr>
            </w:pPr>
            <w:r>
              <w:rPr>
                <w:color w:val="A5A5A5" w:themeColor="background1" w:themeShade="A6"/>
                <w:highlight w:val="none"/>
              </w:rPr>
              <w:t>23</w:t>
            </w:r>
          </w:p>
        </w:tc>
        <w:tc>
          <w:tcPr>
            <w:tcW w:w="1097" w:type="dxa"/>
          </w:tcPr>
          <w:p>
            <w:pPr>
              <w:pStyle w:val="12"/>
              <w:jc w:val="center"/>
              <w:rPr>
                <w:color w:val="auto"/>
                <w:highlight w:val="none"/>
              </w:rPr>
            </w:pPr>
            <w:r>
              <w:rPr>
                <w:iCs/>
                <w:color w:val="auto"/>
                <w:highlight w:val="none"/>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26</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727</w:t>
            </w:r>
          </w:p>
        </w:tc>
        <w:tc>
          <w:tcPr>
            <w:tcW w:w="1097" w:type="dxa"/>
            <w:vAlign w:val="center"/>
          </w:tcPr>
          <w:p>
            <w:pPr>
              <w:pStyle w:val="34"/>
              <w:rPr>
                <w:color w:val="A5A5A5" w:themeColor="background1" w:themeShade="A6"/>
                <w:highlight w:val="none"/>
              </w:rPr>
            </w:pPr>
            <w:r>
              <w:rPr>
                <w:color w:val="A5A5A5" w:themeColor="background1" w:themeShade="A6"/>
                <w:highlight w:val="none"/>
              </w:rPr>
              <w:t>24</w:t>
            </w:r>
          </w:p>
        </w:tc>
        <w:tc>
          <w:tcPr>
            <w:tcW w:w="1097" w:type="dxa"/>
          </w:tcPr>
          <w:p>
            <w:pPr>
              <w:pStyle w:val="12"/>
              <w:jc w:val="center"/>
              <w:rPr>
                <w:color w:val="auto"/>
                <w:highlight w:val="none"/>
              </w:rPr>
            </w:pPr>
            <w:r>
              <w:rPr>
                <w:iCs/>
                <w:color w:val="auto"/>
                <w:highlight w:val="none"/>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27</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759</w:t>
            </w:r>
          </w:p>
        </w:tc>
        <w:tc>
          <w:tcPr>
            <w:tcW w:w="1097" w:type="dxa"/>
            <w:vAlign w:val="center"/>
          </w:tcPr>
          <w:p>
            <w:pPr>
              <w:pStyle w:val="34"/>
              <w:rPr>
                <w:color w:val="A5A5A5" w:themeColor="background1" w:themeShade="A6"/>
                <w:highlight w:val="none"/>
              </w:rPr>
            </w:pPr>
            <w:r>
              <w:rPr>
                <w:color w:val="A5A5A5" w:themeColor="background1" w:themeShade="A6"/>
                <w:highlight w:val="none"/>
              </w:rPr>
              <w:t>25</w:t>
            </w:r>
          </w:p>
        </w:tc>
        <w:tc>
          <w:tcPr>
            <w:tcW w:w="1097" w:type="dxa"/>
          </w:tcPr>
          <w:p>
            <w:pPr>
              <w:pStyle w:val="12"/>
              <w:jc w:val="center"/>
              <w:rPr>
                <w:color w:val="auto"/>
                <w:highlight w:val="none"/>
              </w:rPr>
            </w:pPr>
            <w:r>
              <w:rPr>
                <w:iCs/>
                <w:color w:val="auto"/>
                <w:highlight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28</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rFonts w:hint="eastAsia"/>
                <w:color w:val="auto"/>
                <w:highlight w:val="none"/>
              </w:rPr>
              <w:t>790</w:t>
            </w:r>
          </w:p>
        </w:tc>
        <w:tc>
          <w:tcPr>
            <w:tcW w:w="1097" w:type="dxa"/>
            <w:vAlign w:val="center"/>
          </w:tcPr>
          <w:p>
            <w:pPr>
              <w:pStyle w:val="34"/>
              <w:rPr>
                <w:color w:val="A5A5A5" w:themeColor="background1" w:themeShade="A6"/>
                <w:highlight w:val="none"/>
              </w:rPr>
            </w:pPr>
            <w:r>
              <w:rPr>
                <w:color w:val="A5A5A5" w:themeColor="background1" w:themeShade="A6"/>
                <w:highlight w:val="none"/>
              </w:rPr>
              <w:t>26</w:t>
            </w:r>
          </w:p>
        </w:tc>
        <w:tc>
          <w:tcPr>
            <w:tcW w:w="1097" w:type="dxa"/>
          </w:tcPr>
          <w:p>
            <w:pPr>
              <w:pStyle w:val="12"/>
              <w:jc w:val="center"/>
              <w:rPr>
                <w:color w:val="auto"/>
                <w:highlight w:val="none"/>
              </w:rPr>
            </w:pPr>
            <w:r>
              <w:rPr>
                <w:iCs/>
                <w:color w:val="auto"/>
                <w:highlight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29</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3910" w:type="dxa"/>
            <w:gridSpan w:val="3"/>
            <w:vMerge w:val="restart"/>
            <w:vAlign w:val="center"/>
          </w:tcPr>
          <w:p>
            <w:pPr>
              <w:pStyle w:val="34"/>
              <w:rPr>
                <w:color w:val="auto"/>
                <w:highlight w:val="none"/>
              </w:rPr>
            </w:pPr>
            <w:r>
              <w:rPr>
                <w:color w:val="auto"/>
                <w:highlight w:val="none"/>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30</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3910" w:type="dxa"/>
            <w:gridSpan w:val="3"/>
            <w:vMerge w:val="continue"/>
            <w:vAlign w:val="center"/>
          </w:tcPr>
          <w:p>
            <w:pPr>
              <w:pStyle w:val="34"/>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31</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3910" w:type="dxa"/>
            <w:gridSpan w:val="3"/>
            <w:vMerge w:val="continue"/>
            <w:vAlign w:val="center"/>
          </w:tcPr>
          <w:p>
            <w:pPr>
              <w:pStyle w:val="34"/>
              <w:rPr>
                <w:color w:val="auto"/>
                <w:highlight w:val="none"/>
              </w:rPr>
            </w:pPr>
          </w:p>
        </w:tc>
      </w:tr>
    </w:tbl>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4491990" cy="337058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noChangeArrowheads="1"/>
                    </pic:cNvPicPr>
                  </pic:nvPicPr>
                  <pic:blipFill>
                    <a:blip r:embed="rId22" cstate="print"/>
                    <a:srcRect/>
                    <a:stretch>
                      <a:fillRect/>
                    </a:stretch>
                  </pic:blipFill>
                  <pic:spPr>
                    <a:xfrm>
                      <a:off x="0" y="0"/>
                      <a:ext cx="4491990" cy="3370580"/>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is the MCS table up to 256QAM </w:t>
      </w:r>
      <w:r>
        <w:rPr>
          <w:rFonts w:hint="eastAsia" w:ascii="Times New Roman" w:hAnsi="Times New Roman"/>
          <w:color w:val="auto"/>
          <w:sz w:val="20"/>
          <w:szCs w:val="20"/>
          <w:highlight w:val="none"/>
          <w:lang w:val="en-US" w:eastAsia="zh-CN"/>
        </w:rPr>
        <w:t>based on from</w:t>
      </w:r>
      <w:r>
        <w:rPr>
          <w:rFonts w:hint="eastAsia" w:ascii="Times New Roman" w:hAnsi="Times New Roman"/>
          <w:color w:val="auto"/>
          <w:sz w:val="20"/>
          <w:szCs w:val="20"/>
          <w:highlight w:val="none"/>
        </w:rPr>
        <w:t xml:space="preserve"> PUSCH of LTE adding the code rate column. We modify the 4 entries of 28, 29, 30 and 31 for retransmission indication of modulation order. Then we have to remove one codepoint from the original indices 0-28. For remaining high code rate part, the original code rate point of MCS index 19 is deleted and the larger indices are moved up accordingly. The original code rate point of  MCS index 28 is modified from 919 to 949 for uniform distribution of SE. According to the table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gives the simulation results of the SNR/efficiency respectively using Turbo and LDPC code. According to figure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we can find that the SNR/efficiency points of LDPC are similar to that of Turbo and only the similar offsets are between the both.  So we suggest the all entries of table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to be used for the MCS table up to 256QAM for NR PUSCH in case of CP-OFDM.</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8</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indices 0-18 for of LTE PUSCH up to 256QAM are reused for NR PUSCH up to 256QAM with CP-OFDM.</w:t>
      </w:r>
    </w:p>
    <w:p>
      <w:pPr>
        <w:numPr>
          <w:ilvl w:val="1"/>
          <w:numId w:val="13"/>
        </w:num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1"/>
          <w:numId w:val="13"/>
        </w:numPr>
        <w:adjustRightInd w:val="0"/>
        <w:snapToGrid w:val="0"/>
        <w:spacing w:line="240" w:lineRule="auto"/>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MCS index 28-31 are reserved for modulation order indication</w:t>
      </w:r>
      <w:r>
        <w:rPr>
          <w:rFonts w:hint="eastAsia" w:ascii="Times New Roman" w:hAnsi="宋体"/>
          <w:i/>
          <w:iCs/>
          <w:color w:val="auto"/>
          <w:sz w:val="20"/>
          <w:szCs w:val="20"/>
          <w:highlight w:val="none"/>
        </w:rPr>
        <w:t xml:space="preserve">. </w:t>
      </w: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6</w:t>
      </w:r>
      <w:r>
        <w:rPr>
          <w:rFonts w:hint="eastAsia" w:ascii="Times New Roman" w:hAnsi="Times New Roman"/>
          <w:color w:val="auto"/>
          <w:sz w:val="20"/>
          <w:szCs w:val="20"/>
          <w:highlight w:val="none"/>
        </w:rPr>
        <w:t xml:space="preserve"> MCS Table for up to 256QAM for NR PUSCH in case of CP-OFDM</w:t>
      </w:r>
    </w:p>
    <w:tbl>
      <w:tblPr>
        <w:tblStyle w:val="21"/>
        <w:tblW w:w="57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650"/>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1137" w:type="dxa"/>
            <w:vMerge w:val="restart"/>
            <w:tcBorders>
              <w:right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MCS Index</w:t>
            </w:r>
            <w:r>
              <w:rPr>
                <w:rFonts w:ascii="Arial" w:hAnsi="Arial"/>
                <w:b/>
                <w:bCs/>
                <w:color w:val="auto"/>
                <w:sz w:val="18"/>
                <w:highlight w:val="none"/>
                <w:lang w:eastAsia="en-US"/>
              </w:rPr>
              <w:br w:type="textWrapping"/>
            </w:r>
            <w:r>
              <w:rPr>
                <w:rFonts w:ascii="Arial" w:hAnsi="Arial"/>
                <w:b/>
                <w:color w:val="auto"/>
                <w:position w:val="-10"/>
                <w:sz w:val="18"/>
                <w:highlight w:val="none"/>
                <w:lang w:eastAsia="en-US"/>
              </w:rPr>
              <w:object>
                <v:shape id="_x0000_i1034"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3">
                  <o:LockedField>false</o:LockedField>
                </o:OLEObject>
              </w:object>
            </w:r>
          </w:p>
        </w:tc>
        <w:tc>
          <w:tcPr>
            <w:tcW w:w="1716" w:type="dxa"/>
            <w:vMerge w:val="restart"/>
            <w:tcBorders>
              <w:left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Modulation Order</w:t>
            </w:r>
            <w:r>
              <w:rPr>
                <w:rFonts w:ascii="Arial" w:hAnsi="Arial"/>
                <w:b/>
                <w:bCs/>
                <w:color w:val="auto"/>
                <w:sz w:val="18"/>
                <w:highlight w:val="none"/>
                <w:lang w:eastAsia="en-US"/>
              </w:rPr>
              <w:br w:type="textWrapping"/>
            </w:r>
            <w:r>
              <w:rPr>
                <w:rFonts w:ascii="Arial" w:hAnsi="Arial"/>
                <w:b/>
                <w:bCs/>
                <w:color w:val="auto"/>
                <w:position w:val="-10"/>
                <w:sz w:val="18"/>
                <w:highlight w:val="none"/>
                <w:lang w:val="pt-BR" w:eastAsia="en-US"/>
              </w:rPr>
              <w:object>
                <v:shape id="_x0000_i1035"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4">
                  <o:LockedField>false</o:LockedField>
                </o:OLEObject>
              </w:object>
            </w:r>
          </w:p>
        </w:tc>
        <w:tc>
          <w:tcPr>
            <w:tcW w:w="1650" w:type="dxa"/>
            <w:vMerge w:val="restart"/>
            <w:shd w:val="clear" w:color="auto" w:fill="E0E0E0"/>
            <w:vAlign w:val="center"/>
          </w:tcPr>
          <w:p>
            <w:pPr>
              <w:keepNext/>
              <w:keepLines/>
              <w:jc w:val="center"/>
              <w:rPr>
                <w:rFonts w:ascii="Arial" w:hAnsi="Arial"/>
                <w:b/>
                <w:bCs/>
                <w:color w:val="auto"/>
                <w:sz w:val="18"/>
                <w:highlight w:val="none"/>
                <w:lang w:eastAsia="en-US"/>
              </w:rPr>
            </w:pPr>
            <w:r>
              <w:rPr>
                <w:rFonts w:ascii="Arial" w:hAnsi="Arial"/>
                <w:b/>
                <w:color w:val="auto"/>
                <w:sz w:val="18"/>
                <w:highlight w:val="none"/>
              </w:rPr>
              <w:t>code rate x 1024</w:t>
            </w:r>
          </w:p>
        </w:tc>
        <w:tc>
          <w:tcPr>
            <w:tcW w:w="1223" w:type="dxa"/>
            <w:vMerge w:val="restart"/>
            <w:shd w:val="clear" w:color="auto" w:fill="E0E0E0"/>
            <w:vAlign w:val="center"/>
          </w:tcPr>
          <w:p>
            <w:pPr>
              <w:keepNext/>
              <w:keepLines/>
              <w:jc w:val="center"/>
              <w:rPr>
                <w:rFonts w:ascii="Arial" w:hAnsi="Arial"/>
                <w:b/>
                <w:bCs/>
                <w:color w:val="A5A5A5" w:themeColor="background1" w:themeShade="A6"/>
                <w:sz w:val="18"/>
                <w:highlight w:val="none"/>
                <w:lang w:eastAsia="en-US"/>
              </w:rPr>
            </w:pPr>
            <w:r>
              <w:rPr>
                <w:rFonts w:ascii="Arial" w:hAnsi="Arial"/>
                <w:b/>
                <w:bCs/>
                <w:color w:val="A5A5A5" w:themeColor="background1" w:themeShade="A6"/>
                <w:sz w:val="18"/>
                <w:highlight w:val="none"/>
                <w:lang w:eastAsia="en-US"/>
              </w:rPr>
              <w:t>TBS Index</w:t>
            </w:r>
            <w:r>
              <w:rPr>
                <w:rFonts w:ascii="Arial" w:hAnsi="Arial"/>
                <w:b/>
                <w:bCs/>
                <w:color w:val="A5A5A5" w:themeColor="background1" w:themeShade="A6"/>
                <w:sz w:val="18"/>
                <w:highlight w:val="none"/>
                <w:lang w:eastAsia="en-US"/>
              </w:rPr>
              <w:br w:type="textWrapping"/>
            </w:r>
            <w:r>
              <w:rPr>
                <w:rFonts w:ascii="Arial" w:hAnsi="Arial"/>
                <w:b/>
                <w:color w:val="A5A5A5" w:themeColor="background1" w:themeShade="A6"/>
                <w:position w:val="-10"/>
                <w:sz w:val="18"/>
                <w:highlight w:val="none"/>
                <w:lang w:eastAsia="en-US"/>
              </w:rPr>
              <w:object>
                <v:shape id="_x0000_i1036"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1137" w:type="dxa"/>
            <w:vMerge w:val="continue"/>
            <w:tcBorders>
              <w:bottom w:val="double" w:color="auto" w:sz="4" w:space="0"/>
              <w:right w:val="double" w:color="auto" w:sz="4" w:space="0"/>
            </w:tcBorders>
            <w:shd w:val="clear" w:color="auto" w:fill="E0E0E0"/>
            <w:vAlign w:val="center"/>
          </w:tcPr>
          <w:p>
            <w:pPr>
              <w:keepNext/>
              <w:keepLines/>
              <w:jc w:val="center"/>
              <w:rPr>
                <w:rFonts w:ascii="Arial" w:hAnsi="Arial"/>
                <w:b/>
                <w:bCs/>
                <w:color w:val="auto"/>
                <w:sz w:val="18"/>
                <w:highlight w:val="none"/>
                <w:lang w:eastAsia="en-US"/>
              </w:rPr>
            </w:pPr>
          </w:p>
        </w:tc>
        <w:tc>
          <w:tcPr>
            <w:tcW w:w="1716" w:type="dxa"/>
            <w:vMerge w:val="continue"/>
            <w:tcBorders>
              <w:left w:val="double" w:color="auto" w:sz="4" w:space="0"/>
              <w:bottom w:val="double" w:color="auto" w:sz="4" w:space="0"/>
            </w:tcBorders>
            <w:shd w:val="clear" w:color="auto" w:fill="E0E0E0"/>
            <w:vAlign w:val="center"/>
          </w:tcPr>
          <w:p>
            <w:pPr>
              <w:keepNext/>
              <w:keepLines/>
              <w:jc w:val="center"/>
              <w:rPr>
                <w:rFonts w:ascii="Arial" w:hAnsi="Arial"/>
                <w:b/>
                <w:bCs/>
                <w:color w:val="auto"/>
                <w:sz w:val="18"/>
                <w:highlight w:val="none"/>
                <w:lang w:eastAsia="en-US"/>
              </w:rPr>
            </w:pPr>
          </w:p>
        </w:tc>
        <w:tc>
          <w:tcPr>
            <w:tcW w:w="1650" w:type="dxa"/>
            <w:vMerge w:val="continue"/>
            <w:tcBorders>
              <w:bottom w:val="double" w:color="auto" w:sz="4" w:space="0"/>
            </w:tcBorders>
            <w:shd w:val="clear" w:color="auto" w:fill="E0E0E0"/>
            <w:vAlign w:val="center"/>
          </w:tcPr>
          <w:p>
            <w:pPr>
              <w:keepNext/>
              <w:keepLines/>
              <w:jc w:val="center"/>
              <w:rPr>
                <w:rFonts w:ascii="Arial" w:hAnsi="Arial"/>
                <w:b/>
                <w:color w:val="auto"/>
                <w:sz w:val="18"/>
                <w:highlight w:val="none"/>
              </w:rPr>
            </w:pPr>
          </w:p>
        </w:tc>
        <w:tc>
          <w:tcPr>
            <w:tcW w:w="1223" w:type="dxa"/>
            <w:vMerge w:val="continue"/>
            <w:tcBorders>
              <w:bottom w:val="double" w:color="auto" w:sz="4" w:space="0"/>
            </w:tcBorders>
            <w:shd w:val="clear" w:color="auto" w:fill="E0E0E0"/>
            <w:vAlign w:val="center"/>
          </w:tcPr>
          <w:p>
            <w:pPr>
              <w:keepNext/>
              <w:keepLines/>
              <w:jc w:val="center"/>
              <w:rPr>
                <w:rFonts w:ascii="Arial" w:hAnsi="Arial"/>
                <w:b/>
                <w:bCs/>
                <w:color w:val="A5A5A5" w:themeColor="background1" w:themeShade="A6"/>
                <w:sz w:val="18"/>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0</w:t>
            </w:r>
          </w:p>
        </w:tc>
        <w:tc>
          <w:tcPr>
            <w:tcW w:w="1716" w:type="dxa"/>
            <w:tcBorders>
              <w:top w:val="double" w:color="auto" w:sz="4" w:space="0"/>
              <w:left w:val="double" w:color="auto" w:sz="4" w:space="0"/>
            </w:tcBorders>
            <w:vAlign w:val="center"/>
          </w:tcPr>
          <w:p>
            <w:pPr>
              <w:pStyle w:val="34"/>
              <w:rPr>
                <w:bCs/>
                <w:color w:val="auto"/>
                <w:highlight w:val="none"/>
                <w:lang w:eastAsia="en-US"/>
              </w:rPr>
            </w:pPr>
            <w:r>
              <w:rPr>
                <w:bCs/>
                <w:color w:val="auto"/>
                <w:highlight w:val="none"/>
                <w:lang w:eastAsia="en-US"/>
              </w:rPr>
              <w:t xml:space="preserve">2 </w:t>
            </w:r>
          </w:p>
        </w:tc>
        <w:tc>
          <w:tcPr>
            <w:tcW w:w="1650" w:type="dxa"/>
            <w:tcBorders>
              <w:top w:val="double" w:color="auto" w:sz="4" w:space="0"/>
            </w:tcBorders>
          </w:tcPr>
          <w:p>
            <w:pPr>
              <w:pStyle w:val="34"/>
              <w:rPr>
                <w:bCs/>
                <w:color w:val="auto"/>
                <w:highlight w:val="none"/>
              </w:rPr>
            </w:pPr>
            <w:r>
              <w:rPr>
                <w:rFonts w:hint="eastAsia"/>
                <w:bCs/>
                <w:color w:val="auto"/>
                <w:highlight w:val="none"/>
              </w:rPr>
              <w:t>100</w:t>
            </w:r>
          </w:p>
        </w:tc>
        <w:tc>
          <w:tcPr>
            <w:tcW w:w="1223" w:type="dxa"/>
            <w:tcBorders>
              <w:top w:val="double" w:color="auto" w:sz="4" w:space="0"/>
            </w:tcBorders>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2 </w:t>
            </w:r>
          </w:p>
        </w:tc>
        <w:tc>
          <w:tcPr>
            <w:tcW w:w="1650" w:type="dxa"/>
          </w:tcPr>
          <w:p>
            <w:pPr>
              <w:pStyle w:val="34"/>
              <w:rPr>
                <w:bCs/>
                <w:color w:val="auto"/>
                <w:highlight w:val="none"/>
              </w:rPr>
            </w:pPr>
            <w:r>
              <w:rPr>
                <w:rFonts w:hint="eastAsia"/>
                <w:bCs/>
                <w:color w:val="auto"/>
                <w:highlight w:val="none"/>
              </w:rPr>
              <w:t>161</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2 </w:t>
            </w:r>
          </w:p>
        </w:tc>
        <w:tc>
          <w:tcPr>
            <w:tcW w:w="1650" w:type="dxa"/>
          </w:tcPr>
          <w:p>
            <w:pPr>
              <w:pStyle w:val="34"/>
              <w:rPr>
                <w:bCs/>
                <w:color w:val="auto"/>
                <w:highlight w:val="none"/>
              </w:rPr>
            </w:pPr>
            <w:r>
              <w:rPr>
                <w:rFonts w:hint="eastAsia"/>
                <w:bCs/>
                <w:color w:val="auto"/>
                <w:highlight w:val="none"/>
              </w:rPr>
              <w:t>268</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2 </w:t>
            </w:r>
          </w:p>
        </w:tc>
        <w:tc>
          <w:tcPr>
            <w:tcW w:w="1650" w:type="dxa"/>
          </w:tcPr>
          <w:p>
            <w:pPr>
              <w:pStyle w:val="34"/>
              <w:rPr>
                <w:bCs/>
                <w:color w:val="auto"/>
                <w:highlight w:val="none"/>
              </w:rPr>
            </w:pPr>
            <w:r>
              <w:rPr>
                <w:rFonts w:hint="eastAsia"/>
                <w:bCs/>
                <w:color w:val="auto"/>
                <w:highlight w:val="none"/>
              </w:rPr>
              <w:t>374</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4</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2 </w:t>
            </w:r>
          </w:p>
        </w:tc>
        <w:tc>
          <w:tcPr>
            <w:tcW w:w="1650" w:type="dxa"/>
          </w:tcPr>
          <w:p>
            <w:pPr>
              <w:pStyle w:val="34"/>
              <w:rPr>
                <w:bCs/>
                <w:color w:val="auto"/>
                <w:highlight w:val="none"/>
              </w:rPr>
            </w:pPr>
            <w:r>
              <w:rPr>
                <w:rFonts w:hint="eastAsia"/>
                <w:bCs/>
                <w:color w:val="auto"/>
                <w:highlight w:val="none"/>
              </w:rPr>
              <w:t>502</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5</w:t>
            </w:r>
          </w:p>
        </w:tc>
        <w:tc>
          <w:tcPr>
            <w:tcW w:w="1716" w:type="dxa"/>
            <w:tcBorders>
              <w:left w:val="double" w:color="auto" w:sz="4" w:space="0"/>
            </w:tcBorders>
            <w:vAlign w:val="center"/>
          </w:tcPr>
          <w:p>
            <w:pPr>
              <w:pStyle w:val="34"/>
              <w:rPr>
                <w:bCs/>
                <w:color w:val="auto"/>
                <w:highlight w:val="none"/>
                <w:lang w:eastAsia="en-US"/>
              </w:rPr>
            </w:pPr>
            <w:r>
              <w:rPr>
                <w:rFonts w:hint="eastAsia"/>
                <w:bCs/>
                <w:color w:val="auto"/>
                <w:highlight w:val="none"/>
              </w:rPr>
              <w:t>2</w:t>
            </w:r>
          </w:p>
        </w:tc>
        <w:tc>
          <w:tcPr>
            <w:tcW w:w="1650" w:type="dxa"/>
          </w:tcPr>
          <w:p>
            <w:pPr>
              <w:pStyle w:val="34"/>
              <w:rPr>
                <w:bCs/>
                <w:color w:val="auto"/>
                <w:highlight w:val="none"/>
              </w:rPr>
            </w:pPr>
            <w:r>
              <w:rPr>
                <w:rFonts w:hint="eastAsia"/>
                <w:bCs/>
                <w:color w:val="auto"/>
                <w:highlight w:val="none"/>
              </w:rPr>
              <w:t>630</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6</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4 </w:t>
            </w:r>
          </w:p>
        </w:tc>
        <w:tc>
          <w:tcPr>
            <w:tcW w:w="1650" w:type="dxa"/>
          </w:tcPr>
          <w:p>
            <w:pPr>
              <w:pStyle w:val="34"/>
              <w:rPr>
                <w:bCs/>
                <w:color w:val="auto"/>
                <w:highlight w:val="none"/>
              </w:rPr>
            </w:pPr>
            <w:r>
              <w:rPr>
                <w:rFonts w:hint="eastAsia"/>
                <w:bCs/>
                <w:color w:val="auto"/>
                <w:highlight w:val="none"/>
              </w:rPr>
              <w:t>362</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7</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4 </w:t>
            </w:r>
          </w:p>
        </w:tc>
        <w:tc>
          <w:tcPr>
            <w:tcW w:w="1650" w:type="dxa"/>
          </w:tcPr>
          <w:p>
            <w:pPr>
              <w:pStyle w:val="34"/>
              <w:rPr>
                <w:bCs/>
                <w:color w:val="auto"/>
                <w:highlight w:val="none"/>
                <w:lang w:eastAsia="en-US"/>
              </w:rPr>
            </w:pPr>
            <w:r>
              <w:rPr>
                <w:rFonts w:hint="eastAsia"/>
                <w:bCs/>
                <w:color w:val="auto"/>
                <w:highlight w:val="none"/>
                <w:lang w:eastAsia="en-US"/>
              </w:rPr>
              <w:t>408</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8</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4 </w:t>
            </w:r>
          </w:p>
        </w:tc>
        <w:tc>
          <w:tcPr>
            <w:tcW w:w="1650" w:type="dxa"/>
          </w:tcPr>
          <w:p>
            <w:pPr>
              <w:pStyle w:val="34"/>
              <w:rPr>
                <w:bCs/>
                <w:color w:val="auto"/>
                <w:highlight w:val="none"/>
                <w:lang w:eastAsia="en-US"/>
              </w:rPr>
            </w:pPr>
            <w:r>
              <w:rPr>
                <w:rFonts w:hint="eastAsia"/>
                <w:bCs/>
                <w:color w:val="auto"/>
                <w:highlight w:val="none"/>
                <w:lang w:eastAsia="en-US"/>
              </w:rPr>
              <w:t>461</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9</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4 </w:t>
            </w:r>
          </w:p>
        </w:tc>
        <w:tc>
          <w:tcPr>
            <w:tcW w:w="1650" w:type="dxa"/>
          </w:tcPr>
          <w:p>
            <w:pPr>
              <w:pStyle w:val="34"/>
              <w:rPr>
                <w:bCs/>
                <w:color w:val="auto"/>
                <w:highlight w:val="none"/>
                <w:lang w:eastAsia="en-US"/>
              </w:rPr>
            </w:pPr>
            <w:r>
              <w:rPr>
                <w:rFonts w:hint="eastAsia"/>
                <w:bCs/>
                <w:color w:val="auto"/>
                <w:highlight w:val="none"/>
                <w:lang w:eastAsia="en-US"/>
              </w:rPr>
              <w:t>513</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10</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4 </w:t>
            </w:r>
          </w:p>
        </w:tc>
        <w:tc>
          <w:tcPr>
            <w:tcW w:w="1650" w:type="dxa"/>
          </w:tcPr>
          <w:p>
            <w:pPr>
              <w:pStyle w:val="34"/>
              <w:rPr>
                <w:bCs/>
                <w:color w:val="auto"/>
                <w:highlight w:val="none"/>
                <w:lang w:eastAsia="en-US"/>
              </w:rPr>
            </w:pPr>
            <w:r>
              <w:rPr>
                <w:rFonts w:hint="eastAsia"/>
                <w:bCs/>
                <w:color w:val="auto"/>
                <w:highlight w:val="none"/>
                <w:lang w:eastAsia="en-US"/>
              </w:rPr>
              <w:t>583</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11</w:t>
            </w:r>
          </w:p>
        </w:tc>
        <w:tc>
          <w:tcPr>
            <w:tcW w:w="1716" w:type="dxa"/>
            <w:tcBorders>
              <w:left w:val="double" w:color="auto" w:sz="4" w:space="0"/>
            </w:tcBorders>
            <w:vAlign w:val="center"/>
          </w:tcPr>
          <w:p>
            <w:pPr>
              <w:pStyle w:val="34"/>
              <w:rPr>
                <w:bCs/>
                <w:color w:val="auto"/>
                <w:highlight w:val="none"/>
                <w:lang w:eastAsia="en-US"/>
              </w:rPr>
            </w:pPr>
            <w:r>
              <w:rPr>
                <w:rFonts w:hint="eastAsia"/>
                <w:bCs/>
                <w:color w:val="auto"/>
                <w:highlight w:val="none"/>
                <w:lang w:eastAsia="en-US"/>
              </w:rPr>
              <w:t>4</w:t>
            </w:r>
          </w:p>
        </w:tc>
        <w:tc>
          <w:tcPr>
            <w:tcW w:w="1650" w:type="dxa"/>
          </w:tcPr>
          <w:p>
            <w:pPr>
              <w:pStyle w:val="34"/>
              <w:rPr>
                <w:bCs/>
                <w:color w:val="auto"/>
                <w:highlight w:val="none"/>
                <w:lang w:eastAsia="en-US"/>
              </w:rPr>
            </w:pPr>
            <w:r>
              <w:rPr>
                <w:rFonts w:hint="eastAsia"/>
                <w:bCs/>
                <w:color w:val="auto"/>
                <w:highlight w:val="none"/>
                <w:lang w:eastAsia="en-US"/>
              </w:rPr>
              <w:t>646</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12</w:t>
            </w:r>
          </w:p>
        </w:tc>
        <w:tc>
          <w:tcPr>
            <w:tcW w:w="1716" w:type="dxa"/>
            <w:tcBorders>
              <w:left w:val="double" w:color="auto" w:sz="4" w:space="0"/>
            </w:tcBorders>
            <w:vAlign w:val="center"/>
          </w:tcPr>
          <w:p>
            <w:pPr>
              <w:pStyle w:val="34"/>
              <w:rPr>
                <w:bCs/>
                <w:color w:val="auto"/>
                <w:highlight w:val="none"/>
                <w:lang w:eastAsia="en-US"/>
              </w:rPr>
            </w:pPr>
            <w:r>
              <w:rPr>
                <w:rFonts w:hint="eastAsia"/>
                <w:bCs/>
                <w:color w:val="auto"/>
                <w:highlight w:val="none"/>
                <w:lang w:eastAsia="en-US"/>
              </w:rPr>
              <w:t>4</w:t>
            </w:r>
          </w:p>
        </w:tc>
        <w:tc>
          <w:tcPr>
            <w:tcW w:w="1650" w:type="dxa"/>
          </w:tcPr>
          <w:p>
            <w:pPr>
              <w:pStyle w:val="34"/>
              <w:rPr>
                <w:bCs/>
                <w:color w:val="auto"/>
                <w:highlight w:val="none"/>
                <w:lang w:eastAsia="en-US"/>
              </w:rPr>
            </w:pPr>
            <w:r>
              <w:rPr>
                <w:rFonts w:hint="eastAsia"/>
                <w:bCs/>
                <w:color w:val="auto"/>
                <w:highlight w:val="none"/>
                <w:lang w:eastAsia="en-US"/>
              </w:rPr>
              <w:t>709</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13</w:t>
            </w:r>
          </w:p>
        </w:tc>
        <w:tc>
          <w:tcPr>
            <w:tcW w:w="1716" w:type="dxa"/>
            <w:tcBorders>
              <w:left w:val="double" w:color="auto" w:sz="4" w:space="0"/>
            </w:tcBorders>
            <w:vAlign w:val="center"/>
          </w:tcPr>
          <w:p>
            <w:pPr>
              <w:pStyle w:val="34"/>
              <w:rPr>
                <w:bCs/>
                <w:color w:val="auto"/>
                <w:highlight w:val="none"/>
                <w:lang w:eastAsia="en-US"/>
              </w:rPr>
            </w:pPr>
            <w:r>
              <w:rPr>
                <w:rFonts w:hint="eastAsia"/>
                <w:bCs/>
                <w:color w:val="auto"/>
                <w:highlight w:val="none"/>
                <w:lang w:eastAsia="en-US"/>
              </w:rPr>
              <w:t>4</w:t>
            </w:r>
          </w:p>
        </w:tc>
        <w:tc>
          <w:tcPr>
            <w:tcW w:w="1650" w:type="dxa"/>
          </w:tcPr>
          <w:p>
            <w:pPr>
              <w:pStyle w:val="34"/>
              <w:rPr>
                <w:bCs/>
                <w:color w:val="auto"/>
                <w:highlight w:val="none"/>
                <w:lang w:eastAsia="en-US"/>
              </w:rPr>
            </w:pPr>
            <w:r>
              <w:rPr>
                <w:rFonts w:hint="eastAsia"/>
                <w:bCs/>
                <w:color w:val="auto"/>
                <w:highlight w:val="none"/>
                <w:lang w:eastAsia="en-US"/>
              </w:rPr>
              <w:t>771</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14</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555</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15</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599</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16</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643</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17</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685</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18</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727</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19</w:t>
            </w:r>
          </w:p>
        </w:tc>
        <w:tc>
          <w:tcPr>
            <w:tcW w:w="1716" w:type="dxa"/>
            <w:tcBorders>
              <w:left w:val="double" w:color="auto" w:sz="4" w:space="0"/>
            </w:tcBorders>
            <w:vAlign w:val="center"/>
          </w:tcPr>
          <w:p>
            <w:pPr>
              <w:pStyle w:val="34"/>
              <w:rPr>
                <w:bCs/>
                <w:color w:val="auto"/>
                <w:highlight w:val="none"/>
                <w:lang w:eastAsia="en-US"/>
              </w:rPr>
            </w:pPr>
            <w:r>
              <w:rPr>
                <w:bCs/>
                <w:color w:val="auto"/>
                <w:highlight w:val="none"/>
                <w:lang w:eastAsia="en-US"/>
              </w:rPr>
              <w:t xml:space="preserve">6 </w:t>
            </w:r>
          </w:p>
        </w:tc>
        <w:tc>
          <w:tcPr>
            <w:tcW w:w="1650" w:type="dxa"/>
          </w:tcPr>
          <w:p>
            <w:pPr>
              <w:pStyle w:val="34"/>
              <w:rPr>
                <w:bCs/>
                <w:color w:val="auto"/>
                <w:highlight w:val="none"/>
                <w:lang w:eastAsia="en-US"/>
              </w:rPr>
            </w:pPr>
            <w:r>
              <w:rPr>
                <w:rFonts w:hint="eastAsia"/>
                <w:bCs/>
                <w:color w:val="auto"/>
                <w:highlight w:val="none"/>
                <w:lang w:eastAsia="en-US"/>
              </w:rPr>
              <w:t>790</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20</w:t>
            </w:r>
          </w:p>
        </w:tc>
        <w:tc>
          <w:tcPr>
            <w:tcW w:w="1716" w:type="dxa"/>
            <w:tcBorders>
              <w:left w:val="double" w:color="auto" w:sz="4" w:space="0"/>
            </w:tcBorders>
            <w:vAlign w:val="center"/>
          </w:tcPr>
          <w:p>
            <w:pPr>
              <w:pStyle w:val="34"/>
              <w:rPr>
                <w:bCs/>
                <w:color w:val="auto"/>
                <w:highlight w:val="none"/>
                <w:lang w:eastAsia="en-US"/>
              </w:rPr>
            </w:pPr>
            <w:r>
              <w:rPr>
                <w:rFonts w:hint="eastAsia"/>
                <w:bCs/>
                <w:color w:val="auto"/>
                <w:highlight w:val="none"/>
                <w:lang w:eastAsia="en-US"/>
              </w:rPr>
              <w:t>6</w:t>
            </w:r>
          </w:p>
        </w:tc>
        <w:tc>
          <w:tcPr>
            <w:tcW w:w="1650" w:type="dxa"/>
          </w:tcPr>
          <w:p>
            <w:pPr>
              <w:pStyle w:val="34"/>
              <w:rPr>
                <w:bCs/>
                <w:color w:val="auto"/>
                <w:highlight w:val="none"/>
                <w:lang w:eastAsia="en-US"/>
              </w:rPr>
            </w:pPr>
            <w:r>
              <w:rPr>
                <w:rFonts w:hint="eastAsia"/>
                <w:bCs/>
                <w:color w:val="auto"/>
                <w:highlight w:val="none"/>
                <w:lang w:eastAsia="en-US"/>
              </w:rPr>
              <w:t>838</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21</w:t>
            </w:r>
          </w:p>
        </w:tc>
        <w:tc>
          <w:tcPr>
            <w:tcW w:w="1716" w:type="dxa"/>
            <w:tcBorders>
              <w:left w:val="double" w:color="auto" w:sz="4" w:space="0"/>
            </w:tcBorders>
          </w:tcPr>
          <w:p>
            <w:pPr>
              <w:pStyle w:val="34"/>
              <w:rPr>
                <w:bCs/>
                <w:color w:val="auto"/>
                <w:highlight w:val="none"/>
                <w:lang w:eastAsia="en-US"/>
              </w:rPr>
            </w:pPr>
            <w:r>
              <w:rPr>
                <w:rFonts w:hint="eastAsia"/>
                <w:bCs/>
                <w:color w:val="auto"/>
                <w:highlight w:val="none"/>
                <w:lang w:eastAsia="en-US"/>
              </w:rPr>
              <w:t>6</w:t>
            </w:r>
          </w:p>
        </w:tc>
        <w:tc>
          <w:tcPr>
            <w:tcW w:w="1650" w:type="dxa"/>
          </w:tcPr>
          <w:p>
            <w:pPr>
              <w:pStyle w:val="34"/>
              <w:rPr>
                <w:bCs/>
                <w:color w:val="auto"/>
                <w:highlight w:val="none"/>
                <w:lang w:eastAsia="en-US"/>
              </w:rPr>
            </w:pPr>
            <w:r>
              <w:rPr>
                <w:rFonts w:hint="eastAsia"/>
                <w:bCs/>
                <w:color w:val="auto"/>
                <w:highlight w:val="none"/>
                <w:lang w:eastAsia="en-US"/>
              </w:rPr>
              <w:t>886</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22</w:t>
            </w:r>
          </w:p>
        </w:tc>
        <w:tc>
          <w:tcPr>
            <w:tcW w:w="1716" w:type="dxa"/>
            <w:tcBorders>
              <w:left w:val="double" w:color="auto" w:sz="4" w:space="0"/>
            </w:tcBorders>
          </w:tcPr>
          <w:p>
            <w:pPr>
              <w:pStyle w:val="34"/>
              <w:rPr>
                <w:rFonts w:eastAsiaTheme="minorEastAsia"/>
                <w:bCs/>
                <w:color w:val="auto"/>
                <w:highlight w:val="none"/>
                <w:lang w:eastAsia="zh-CN"/>
              </w:rPr>
            </w:pPr>
            <w:r>
              <w:rPr>
                <w:rFonts w:hint="eastAsia" w:eastAsiaTheme="minorEastAsia"/>
                <w:bCs/>
                <w:color w:val="auto"/>
                <w:highlight w:val="none"/>
                <w:lang w:eastAsia="zh-CN"/>
              </w:rPr>
              <w:t>8</w:t>
            </w:r>
          </w:p>
        </w:tc>
        <w:tc>
          <w:tcPr>
            <w:tcW w:w="1650" w:type="dxa"/>
          </w:tcPr>
          <w:p>
            <w:pPr>
              <w:pStyle w:val="34"/>
              <w:rPr>
                <w:bCs/>
                <w:color w:val="auto"/>
                <w:highlight w:val="none"/>
                <w:lang w:eastAsia="en-US"/>
              </w:rPr>
            </w:pPr>
            <w:r>
              <w:rPr>
                <w:rFonts w:hint="eastAsia"/>
                <w:bCs/>
                <w:color w:val="auto"/>
                <w:highlight w:val="none"/>
                <w:lang w:eastAsia="en-US"/>
              </w:rPr>
              <w:t>701</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23</w:t>
            </w:r>
          </w:p>
        </w:tc>
        <w:tc>
          <w:tcPr>
            <w:tcW w:w="1716" w:type="dxa"/>
            <w:tcBorders>
              <w:left w:val="double" w:color="auto" w:sz="4" w:space="0"/>
            </w:tcBorders>
          </w:tcPr>
          <w:p>
            <w:pPr>
              <w:pStyle w:val="34"/>
              <w:rPr>
                <w:bCs/>
                <w:color w:val="auto"/>
                <w:highlight w:val="none"/>
                <w:lang w:eastAsia="en-US"/>
              </w:rPr>
            </w:pPr>
            <w:r>
              <w:rPr>
                <w:bCs/>
                <w:color w:val="auto"/>
                <w:highlight w:val="none"/>
                <w:lang w:eastAsia="en-US"/>
              </w:rPr>
              <w:t xml:space="preserve">8 </w:t>
            </w:r>
          </w:p>
        </w:tc>
        <w:tc>
          <w:tcPr>
            <w:tcW w:w="1650" w:type="dxa"/>
          </w:tcPr>
          <w:p>
            <w:pPr>
              <w:pStyle w:val="34"/>
              <w:rPr>
                <w:bCs/>
                <w:color w:val="auto"/>
                <w:highlight w:val="none"/>
                <w:lang w:eastAsia="en-US"/>
              </w:rPr>
            </w:pPr>
            <w:r>
              <w:rPr>
                <w:rFonts w:hint="eastAsia"/>
                <w:bCs/>
                <w:color w:val="auto"/>
                <w:highlight w:val="none"/>
                <w:lang w:eastAsia="en-US"/>
              </w:rPr>
              <w:t>738</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24</w:t>
            </w:r>
          </w:p>
        </w:tc>
        <w:tc>
          <w:tcPr>
            <w:tcW w:w="1716" w:type="dxa"/>
            <w:tcBorders>
              <w:left w:val="double" w:color="auto" w:sz="4" w:space="0"/>
            </w:tcBorders>
          </w:tcPr>
          <w:p>
            <w:pPr>
              <w:pStyle w:val="34"/>
              <w:rPr>
                <w:bCs/>
                <w:color w:val="auto"/>
                <w:highlight w:val="none"/>
                <w:lang w:eastAsia="en-US"/>
              </w:rPr>
            </w:pPr>
            <w:r>
              <w:rPr>
                <w:bCs/>
                <w:color w:val="auto"/>
                <w:highlight w:val="none"/>
                <w:lang w:eastAsia="en-US"/>
              </w:rPr>
              <w:t xml:space="preserve">8 </w:t>
            </w:r>
          </w:p>
        </w:tc>
        <w:tc>
          <w:tcPr>
            <w:tcW w:w="1650" w:type="dxa"/>
          </w:tcPr>
          <w:p>
            <w:pPr>
              <w:pStyle w:val="34"/>
              <w:rPr>
                <w:bCs/>
                <w:color w:val="auto"/>
                <w:highlight w:val="none"/>
                <w:lang w:eastAsia="en-US"/>
              </w:rPr>
            </w:pPr>
            <w:r>
              <w:rPr>
                <w:rFonts w:hint="eastAsia"/>
                <w:bCs/>
                <w:color w:val="auto"/>
                <w:highlight w:val="none"/>
                <w:lang w:eastAsia="en-US"/>
              </w:rPr>
              <w:t>764</w:t>
            </w:r>
          </w:p>
        </w:tc>
        <w:tc>
          <w:tcPr>
            <w:tcW w:w="1223"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25</w:t>
            </w:r>
          </w:p>
        </w:tc>
        <w:tc>
          <w:tcPr>
            <w:tcW w:w="1716" w:type="dxa"/>
            <w:tcBorders>
              <w:left w:val="double" w:color="auto" w:sz="4" w:space="0"/>
            </w:tcBorders>
          </w:tcPr>
          <w:p>
            <w:pPr>
              <w:pStyle w:val="34"/>
              <w:rPr>
                <w:bCs/>
                <w:color w:val="auto"/>
                <w:highlight w:val="none"/>
                <w:lang w:eastAsia="en-US"/>
              </w:rPr>
            </w:pPr>
            <w:r>
              <w:rPr>
                <w:bCs/>
                <w:color w:val="auto"/>
                <w:highlight w:val="none"/>
                <w:lang w:eastAsia="en-US"/>
              </w:rPr>
              <w:t xml:space="preserve">8 </w:t>
            </w:r>
          </w:p>
        </w:tc>
        <w:tc>
          <w:tcPr>
            <w:tcW w:w="1650" w:type="dxa"/>
          </w:tcPr>
          <w:p>
            <w:pPr>
              <w:pStyle w:val="34"/>
              <w:rPr>
                <w:bCs/>
                <w:color w:val="auto"/>
                <w:highlight w:val="none"/>
                <w:lang w:eastAsia="en-US"/>
              </w:rPr>
            </w:pPr>
            <w:r>
              <w:rPr>
                <w:rFonts w:hint="eastAsia"/>
                <w:bCs/>
                <w:color w:val="auto"/>
                <w:highlight w:val="none"/>
                <w:lang w:eastAsia="en-US"/>
              </w:rPr>
              <w:t>821</w:t>
            </w:r>
          </w:p>
        </w:tc>
        <w:tc>
          <w:tcPr>
            <w:tcW w:w="1223" w:type="dxa"/>
            <w:vAlign w:val="center"/>
          </w:tcPr>
          <w:p>
            <w:pPr>
              <w:pStyle w:val="34"/>
              <w:rPr>
                <w:bCs/>
                <w:color w:val="A5A5A5" w:themeColor="background1" w:themeShade="A6"/>
                <w:highlight w:val="none"/>
                <w:lang w:eastAsia="en-US"/>
              </w:rPr>
            </w:pPr>
            <w:r>
              <w:rPr>
                <w:rFonts w:hint="eastAsia"/>
                <w:bCs/>
                <w:color w:val="A5A5A5" w:themeColor="background1" w:themeShade="A6"/>
                <w:highlight w:val="none"/>
                <w:lang w:eastAsia="en-US"/>
              </w:rPr>
              <w:t>32A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26</w:t>
            </w:r>
          </w:p>
        </w:tc>
        <w:tc>
          <w:tcPr>
            <w:tcW w:w="1716" w:type="dxa"/>
            <w:tcBorders>
              <w:left w:val="double" w:color="auto" w:sz="4" w:space="0"/>
            </w:tcBorders>
          </w:tcPr>
          <w:p>
            <w:pPr>
              <w:pStyle w:val="34"/>
              <w:rPr>
                <w:bCs/>
                <w:color w:val="auto"/>
                <w:highlight w:val="none"/>
                <w:lang w:eastAsia="en-US"/>
              </w:rPr>
            </w:pPr>
            <w:r>
              <w:rPr>
                <w:bCs/>
                <w:color w:val="auto"/>
                <w:highlight w:val="none"/>
                <w:lang w:eastAsia="en-US"/>
              </w:rPr>
              <w:t xml:space="preserve">8 </w:t>
            </w:r>
          </w:p>
        </w:tc>
        <w:tc>
          <w:tcPr>
            <w:tcW w:w="1650" w:type="dxa"/>
          </w:tcPr>
          <w:p>
            <w:pPr>
              <w:pStyle w:val="34"/>
              <w:rPr>
                <w:bCs/>
                <w:color w:val="auto"/>
                <w:highlight w:val="none"/>
                <w:lang w:eastAsia="en-US"/>
              </w:rPr>
            </w:pPr>
            <w:r>
              <w:rPr>
                <w:rFonts w:hint="eastAsia"/>
                <w:bCs/>
                <w:color w:val="auto"/>
                <w:highlight w:val="none"/>
                <w:lang w:eastAsia="en-US"/>
              </w:rPr>
              <w:t>895</w:t>
            </w:r>
          </w:p>
        </w:tc>
        <w:tc>
          <w:tcPr>
            <w:tcW w:w="1223" w:type="dxa"/>
            <w:vAlign w:val="center"/>
          </w:tcPr>
          <w:p>
            <w:pPr>
              <w:pStyle w:val="34"/>
              <w:rPr>
                <w:bCs/>
                <w:color w:val="A5A5A5" w:themeColor="background1" w:themeShade="A6"/>
                <w:highlight w:val="none"/>
                <w:lang w:eastAsia="en-US"/>
              </w:rPr>
            </w:pPr>
            <w:r>
              <w:rPr>
                <w:rFonts w:hint="eastAsia"/>
                <w:bCs/>
                <w:color w:val="A5A5A5" w:themeColor="background1" w:themeShade="A6"/>
                <w:highlight w:val="none"/>
                <w:lang w:eastAsia="en-US"/>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27</w:t>
            </w:r>
          </w:p>
        </w:tc>
        <w:tc>
          <w:tcPr>
            <w:tcW w:w="1716" w:type="dxa"/>
            <w:tcBorders>
              <w:left w:val="double" w:color="auto" w:sz="4" w:space="0"/>
            </w:tcBorders>
          </w:tcPr>
          <w:p>
            <w:pPr>
              <w:pStyle w:val="34"/>
              <w:rPr>
                <w:bCs/>
                <w:color w:val="auto"/>
                <w:highlight w:val="none"/>
                <w:lang w:eastAsia="en-US"/>
              </w:rPr>
            </w:pPr>
            <w:r>
              <w:rPr>
                <w:bCs/>
                <w:color w:val="auto"/>
                <w:highlight w:val="none"/>
                <w:lang w:eastAsia="en-US"/>
              </w:rPr>
              <w:t xml:space="preserve">8 </w:t>
            </w:r>
          </w:p>
        </w:tc>
        <w:tc>
          <w:tcPr>
            <w:tcW w:w="1650" w:type="dxa"/>
          </w:tcPr>
          <w:p>
            <w:pPr>
              <w:pStyle w:val="34"/>
              <w:rPr>
                <w:bCs/>
                <w:color w:val="auto"/>
                <w:highlight w:val="none"/>
                <w:lang w:eastAsia="en-US"/>
              </w:rPr>
            </w:pPr>
            <w:r>
              <w:rPr>
                <w:rFonts w:hint="eastAsia" w:eastAsiaTheme="minorEastAsia"/>
                <w:bCs/>
                <w:color w:val="auto"/>
                <w:highlight w:val="none"/>
                <w:lang w:eastAsia="zh-CN"/>
              </w:rPr>
              <w:t>949</w:t>
            </w:r>
          </w:p>
        </w:tc>
        <w:tc>
          <w:tcPr>
            <w:tcW w:w="1223" w:type="dxa"/>
            <w:vAlign w:val="center"/>
          </w:tcPr>
          <w:p>
            <w:pPr>
              <w:pStyle w:val="34"/>
              <w:rPr>
                <w:rFonts w:eastAsia="宋体"/>
                <w:bCs/>
                <w:color w:val="A5A5A5" w:themeColor="background1" w:themeShade="A6"/>
                <w:highlight w:val="none"/>
                <w:lang w:val="en-US" w:eastAsia="zh-CN"/>
              </w:rPr>
            </w:pPr>
            <w:r>
              <w:rPr>
                <w:rFonts w:hint="eastAsia" w:eastAsia="宋体"/>
                <w:bCs/>
                <w:color w:val="A5A5A5" w:themeColor="background1" w:themeShade="A6"/>
                <w:highlight w:val="none"/>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28</w:t>
            </w:r>
          </w:p>
        </w:tc>
        <w:tc>
          <w:tcPr>
            <w:tcW w:w="1716" w:type="dxa"/>
            <w:tcBorders>
              <w:left w:val="double" w:color="auto" w:sz="4" w:space="0"/>
            </w:tcBorders>
            <w:vAlign w:val="center"/>
          </w:tcPr>
          <w:p>
            <w:pPr>
              <w:pStyle w:val="34"/>
              <w:rPr>
                <w:rFonts w:eastAsia="宋体"/>
                <w:bCs/>
                <w:color w:val="auto"/>
                <w:highlight w:val="none"/>
                <w:lang w:eastAsia="zh-CN"/>
              </w:rPr>
            </w:pPr>
            <w:r>
              <w:rPr>
                <w:rFonts w:hint="eastAsia" w:eastAsia="宋体"/>
                <w:bCs/>
                <w:color w:val="auto"/>
                <w:highlight w:val="none"/>
                <w:lang w:val="en-US" w:eastAsia="zh-CN"/>
              </w:rPr>
              <w:t>2</w:t>
            </w:r>
          </w:p>
        </w:tc>
        <w:tc>
          <w:tcPr>
            <w:tcW w:w="2873" w:type="dxa"/>
            <w:gridSpan w:val="2"/>
            <w:vMerge w:val="restart"/>
            <w:vAlign w:val="center"/>
          </w:tcPr>
          <w:p>
            <w:pPr>
              <w:pStyle w:val="34"/>
              <w:rPr>
                <w:bCs/>
                <w:color w:val="auto"/>
                <w:highlight w:val="none"/>
                <w:lang w:eastAsia="en-US"/>
              </w:rPr>
            </w:pPr>
            <w:r>
              <w:rPr>
                <w:bCs/>
                <w:color w:val="auto"/>
                <w:highlight w:val="none"/>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29</w:t>
            </w:r>
          </w:p>
        </w:tc>
        <w:tc>
          <w:tcPr>
            <w:tcW w:w="1716" w:type="dxa"/>
            <w:tcBorders>
              <w:left w:val="double" w:color="auto" w:sz="4" w:space="0"/>
            </w:tcBorders>
          </w:tcPr>
          <w:p>
            <w:pPr>
              <w:pStyle w:val="34"/>
              <w:rPr>
                <w:rFonts w:eastAsia="宋体"/>
                <w:bCs/>
                <w:color w:val="auto"/>
                <w:highlight w:val="none"/>
                <w:lang w:val="en-US" w:eastAsia="zh-CN"/>
              </w:rPr>
            </w:pPr>
            <w:r>
              <w:rPr>
                <w:rFonts w:hint="eastAsia" w:eastAsia="宋体"/>
                <w:bCs/>
                <w:color w:val="auto"/>
                <w:highlight w:val="none"/>
                <w:lang w:val="en-US" w:eastAsia="zh-CN"/>
              </w:rPr>
              <w:t>4</w:t>
            </w:r>
          </w:p>
        </w:tc>
        <w:tc>
          <w:tcPr>
            <w:tcW w:w="2873" w:type="dxa"/>
            <w:gridSpan w:val="2"/>
            <w:vMerge w:val="continue"/>
          </w:tcPr>
          <w:p>
            <w:pPr>
              <w:pStyle w:val="34"/>
              <w:rPr>
                <w:bCs/>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30</w:t>
            </w:r>
          </w:p>
        </w:tc>
        <w:tc>
          <w:tcPr>
            <w:tcW w:w="1716" w:type="dxa"/>
            <w:tcBorders>
              <w:left w:val="double" w:color="auto" w:sz="4" w:space="0"/>
            </w:tcBorders>
            <w:vAlign w:val="center"/>
          </w:tcPr>
          <w:p>
            <w:pPr>
              <w:pStyle w:val="34"/>
              <w:rPr>
                <w:rFonts w:eastAsia="宋体"/>
                <w:bCs/>
                <w:color w:val="auto"/>
                <w:highlight w:val="none"/>
                <w:lang w:val="en-US" w:eastAsia="zh-CN"/>
              </w:rPr>
            </w:pPr>
            <w:r>
              <w:rPr>
                <w:rFonts w:hint="eastAsia" w:eastAsia="宋体"/>
                <w:bCs/>
                <w:color w:val="auto"/>
                <w:highlight w:val="none"/>
                <w:lang w:val="en-US" w:eastAsia="zh-CN"/>
              </w:rPr>
              <w:t>6</w:t>
            </w:r>
          </w:p>
        </w:tc>
        <w:tc>
          <w:tcPr>
            <w:tcW w:w="2873" w:type="dxa"/>
            <w:gridSpan w:val="2"/>
            <w:vMerge w:val="continue"/>
            <w:vAlign w:val="center"/>
          </w:tcPr>
          <w:p>
            <w:pPr>
              <w:keepLines/>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31</w:t>
            </w:r>
          </w:p>
        </w:tc>
        <w:tc>
          <w:tcPr>
            <w:tcW w:w="1716" w:type="dxa"/>
            <w:tcBorders>
              <w:left w:val="double" w:color="auto" w:sz="4" w:space="0"/>
            </w:tcBorders>
            <w:vAlign w:val="center"/>
          </w:tcPr>
          <w:p>
            <w:pPr>
              <w:pStyle w:val="34"/>
              <w:rPr>
                <w:rFonts w:eastAsia="宋体"/>
                <w:bCs/>
                <w:color w:val="auto"/>
                <w:highlight w:val="none"/>
                <w:lang w:val="en-US" w:eastAsia="zh-CN"/>
              </w:rPr>
            </w:pPr>
            <w:r>
              <w:rPr>
                <w:rFonts w:hint="eastAsia" w:eastAsia="宋体"/>
                <w:bCs/>
                <w:color w:val="auto"/>
                <w:highlight w:val="none"/>
                <w:lang w:val="en-US" w:eastAsia="zh-CN"/>
              </w:rPr>
              <w:t>8</w:t>
            </w:r>
          </w:p>
        </w:tc>
        <w:tc>
          <w:tcPr>
            <w:tcW w:w="2873" w:type="dxa"/>
            <w:gridSpan w:val="2"/>
            <w:vMerge w:val="continue"/>
            <w:vAlign w:val="center"/>
          </w:tcPr>
          <w:p>
            <w:pPr>
              <w:keepLines/>
              <w:jc w:val="center"/>
              <w:rPr>
                <w:color w:val="auto"/>
                <w:highlight w:val="none"/>
                <w:lang w:eastAsia="en-US"/>
              </w:rPr>
            </w:pPr>
          </w:p>
        </w:tc>
      </w:tr>
    </w:tbl>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5274310" cy="395351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noChangeArrowheads="1"/>
                    </pic:cNvPicPr>
                  </pic:nvPicPr>
                  <pic:blipFill>
                    <a:blip r:embed="rId26" cstate="print"/>
                    <a:srcRect/>
                    <a:stretch>
                      <a:fillRect/>
                    </a:stretch>
                  </pic:blipFill>
                  <pic:spPr>
                    <a:xfrm>
                      <a:off x="0" y="0"/>
                      <a:ext cx="5274310" cy="3953535"/>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line="240" w:lineRule="auto"/>
        <w:jc w:val="both"/>
        <w:outlineLvl w:val="2"/>
        <w:rPr>
          <w:rFonts w:ascii="Times New Roman" w:hAnsi="Times New Roman"/>
          <w:color w:val="auto"/>
          <w:sz w:val="20"/>
          <w:szCs w:val="20"/>
          <w:highlight w:val="none"/>
        </w:rPr>
      </w:pPr>
      <w:r>
        <w:rPr>
          <w:rFonts w:hint="eastAsia" w:ascii="Times New Roman" w:hAnsi="Times New Roman"/>
          <w:b/>
          <w:color w:val="auto"/>
          <w:sz w:val="24"/>
          <w:szCs w:val="24"/>
          <w:highlight w:val="none"/>
        </w:rPr>
        <w:t>3.2.2 I</w:t>
      </w:r>
      <w:r>
        <w:rPr>
          <w:rFonts w:ascii="Times New Roman" w:hAnsi="Times New Roman"/>
          <w:b/>
          <w:color w:val="auto"/>
          <w:sz w:val="24"/>
          <w:szCs w:val="24"/>
          <w:highlight w:val="none"/>
        </w:rPr>
        <w:t xml:space="preserve">n case of </w:t>
      </w:r>
      <w:r>
        <w:rPr>
          <w:rFonts w:hint="eastAsia" w:ascii="Times New Roman" w:hAnsi="Times New Roman"/>
          <w:b/>
          <w:color w:val="auto"/>
          <w:sz w:val="24"/>
          <w:szCs w:val="24"/>
          <w:highlight w:val="none"/>
        </w:rPr>
        <w:t>DFT-s-OFDM</w:t>
      </w:r>
    </w:p>
    <w:p>
      <w:pPr>
        <w:adjustRightInd w:val="0"/>
        <w:snapToGrid w:val="0"/>
        <w:spacing w:before="120" w:line="240" w:lineRule="auto"/>
        <w:jc w:val="both"/>
        <w:rPr>
          <w:rFonts w:ascii="Times New Roman" w:hAnsi="宋体"/>
          <w:color w:val="auto"/>
          <w:sz w:val="20"/>
          <w:szCs w:val="20"/>
          <w:highlight w:val="none"/>
        </w:rPr>
      </w:pPr>
      <w:r>
        <w:rPr>
          <w:rFonts w:hint="eastAsia" w:ascii="Times New Roman" w:hAnsi="Times New Roman"/>
          <w:color w:val="auto"/>
          <w:sz w:val="20"/>
          <w:szCs w:val="20"/>
          <w:highlight w:val="none"/>
        </w:rPr>
        <w:t xml:space="preserve">Pi/2 BPSK is used in this case targeting for lower PAPR. For the MCS table up to 64QAM, we add 2 entries of  Pi/2 BPSK to the above table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instead of 2 entries of QPSK with the same two lowest SE. We modify the 4 entries of 28, 29, 30 and 31 for retransmission indication as downlink. And the original code rate point of MCS index 21 is deleted and </w:t>
      </w:r>
      <w:r>
        <w:rPr>
          <w:rFonts w:hint="eastAsia" w:ascii="Times New Roman" w:hAnsi="Times New Roman"/>
          <w:color w:val="auto"/>
          <w:sz w:val="20"/>
          <w:szCs w:val="20"/>
          <w:highlight w:val="none"/>
          <w:lang w:val="en-US" w:eastAsia="zh-CN"/>
        </w:rPr>
        <w:t>the positions of other code points are adjusted accordingly</w:t>
      </w:r>
      <w:r>
        <w:rPr>
          <w:rFonts w:hint="eastAsia" w:ascii="Times New Roman" w:hAnsi="Times New Roman"/>
          <w:color w:val="auto"/>
          <w:sz w:val="20"/>
          <w:szCs w:val="20"/>
          <w:highlight w:val="none"/>
        </w:rPr>
        <w:t xml:space="preserve">. The modified MCS table up to 64QAM is the table 6 below. According to the table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8</w:t>
      </w:r>
      <w:r>
        <w:rPr>
          <w:rFonts w:hint="eastAsia" w:ascii="Times New Roman" w:hAnsi="Times New Roman"/>
          <w:color w:val="auto"/>
          <w:sz w:val="20"/>
          <w:szCs w:val="20"/>
          <w:highlight w:val="none"/>
        </w:rPr>
        <w:t xml:space="preserve"> gives the simulation results of the SNR/efficiency using LDPC code. We can find that the SNR/efficiency points are almost uniformly distributed. We suggest the all entries of table 6 to be used for the MCS table up to 64QAM for NR PUSCH in case of DFT-s-OFDM.</w:t>
      </w:r>
    </w:p>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9</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 xml:space="preserve">MCS table up to 64QAM for NR PUSCH with DFT-s-OFDM is obtained from the NR PUSCH MCS table up to 64QAM with CP-OFDM as follows </w:t>
      </w:r>
    </w:p>
    <w:p>
      <w:pPr>
        <w:numPr>
          <w:ilvl w:val="0"/>
          <w:numId w:val="14"/>
        </w:numPr>
        <w:adjustRightInd w:val="0"/>
        <w:snapToGrid w:val="0"/>
        <w:spacing w:after="0" w:line="240" w:lineRule="auto"/>
        <w:ind w:left="839"/>
        <w:jc w:val="both"/>
        <w:rPr>
          <w:rFonts w:ascii="Times New Roman" w:hAnsi="宋体"/>
          <w:color w:val="auto"/>
          <w:sz w:val="20"/>
          <w:szCs w:val="20"/>
          <w:highlight w:val="none"/>
        </w:rPr>
      </w:pPr>
      <w:r>
        <w:rPr>
          <w:rFonts w:hint="eastAsia" w:ascii="Times New Roman" w:hAnsi="Times New Roman"/>
          <w:i/>
          <w:iCs/>
          <w:color w:val="auto"/>
          <w:sz w:val="20"/>
          <w:szCs w:val="20"/>
          <w:highlight w:val="none"/>
        </w:rPr>
        <w:t>Use</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2 entries of  Pi/2 BPSK  to replace the 2 entries of QPSK in CP-OFDM table with the same two lowest SEs</w:t>
      </w:r>
    </w:p>
    <w:p>
      <w:pPr>
        <w:numPr>
          <w:ilvl w:val="0"/>
          <w:numId w:val="14"/>
        </w:numPr>
        <w:adjustRightInd w:val="0"/>
        <w:snapToGrid w:val="0"/>
        <w:spacing w:after="0" w:line="240" w:lineRule="auto"/>
        <w:ind w:left="839"/>
        <w:jc w:val="both"/>
        <w:rPr>
          <w:rFonts w:ascii="Times New Roman" w:hAnsi="宋体"/>
          <w:color w:val="auto"/>
          <w:sz w:val="20"/>
          <w:szCs w:val="20"/>
          <w:highlight w:val="none"/>
        </w:rPr>
      </w:pPr>
      <w:r>
        <w:rPr>
          <w:rFonts w:hint="eastAsia" w:ascii="Times New Roman" w:hAnsi="Times New Roman"/>
          <w:i/>
          <w:iCs/>
          <w:color w:val="auto"/>
          <w:sz w:val="20"/>
          <w:szCs w:val="20"/>
          <w:highlight w:val="none"/>
        </w:rPr>
        <w:t>MCS indices 28 - 31 are reserved for indication of modulation order 1, 2, 4 and 6.</w:t>
      </w:r>
    </w:p>
    <w:p>
      <w:pPr>
        <w:numPr>
          <w:ilvl w:val="0"/>
          <w:numId w:val="14"/>
        </w:numPr>
        <w:adjustRightInd w:val="0"/>
        <w:snapToGrid w:val="0"/>
        <w:spacing w:after="0" w:line="240" w:lineRule="auto"/>
        <w:ind w:left="839"/>
        <w:jc w:val="both"/>
        <w:rPr>
          <w:rFonts w:ascii="Times New Roman" w:hAnsi="宋体"/>
          <w:i/>
          <w:iCs/>
          <w:color w:val="auto"/>
          <w:sz w:val="20"/>
          <w:szCs w:val="20"/>
          <w:highlight w:val="none"/>
        </w:rPr>
      </w:pPr>
      <w:r>
        <w:rPr>
          <w:rFonts w:hint="eastAsia" w:ascii="Times New Roman" w:hAnsi="宋体"/>
          <w:i/>
          <w:iCs/>
          <w:color w:val="auto"/>
          <w:sz w:val="20"/>
          <w:szCs w:val="20"/>
          <w:highlight w:val="none"/>
        </w:rPr>
        <w:t xml:space="preserve">The other code rate points are reused for </w:t>
      </w:r>
      <w:r>
        <w:rPr>
          <w:rFonts w:hint="eastAsia" w:ascii="Times New Roman" w:hAnsi="Times New Roman"/>
          <w:i/>
          <w:iCs/>
          <w:color w:val="auto"/>
          <w:sz w:val="20"/>
          <w:szCs w:val="20"/>
          <w:highlight w:val="none"/>
        </w:rPr>
        <w:t>MCS table up to 64QAM for NR PUSCH with DFT-s-OFDM.</w:t>
      </w:r>
    </w:p>
    <w:p>
      <w:pPr>
        <w:adjustRightInd w:val="0"/>
        <w:snapToGrid w:val="0"/>
        <w:spacing w:before="120" w:after="0" w:line="240" w:lineRule="auto"/>
        <w:ind w:left="420"/>
        <w:jc w:val="both"/>
        <w:rPr>
          <w:rFonts w:ascii="Times New Roman" w:hAnsi="宋体"/>
          <w:i/>
          <w:iCs/>
          <w:color w:val="auto"/>
          <w:sz w:val="20"/>
          <w:szCs w:val="20"/>
          <w:highlight w:val="none"/>
        </w:rPr>
      </w:pP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7</w:t>
      </w:r>
      <w:r>
        <w:rPr>
          <w:rFonts w:hint="eastAsia" w:ascii="Times New Roman" w:hAnsi="Times New Roman"/>
          <w:color w:val="auto"/>
          <w:sz w:val="20"/>
          <w:szCs w:val="20"/>
          <w:highlight w:val="none"/>
        </w:rPr>
        <w:t xml:space="preserve"> MCS Table for up to 64QAM for NR PUSCH in case of  DFT-s-OFDM</w:t>
      </w:r>
    </w:p>
    <w:tbl>
      <w:tblPr>
        <w:tblStyle w:val="21"/>
        <w:tblW w:w="6763" w:type="dxa"/>
        <w:jc w:val="center"/>
        <w:tblInd w:w="2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716"/>
        <w:gridCol w:w="1097"/>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0" w:hRule="atLeast"/>
          <w:jc w:val="center"/>
        </w:trPr>
        <w:tc>
          <w:tcPr>
            <w:tcW w:w="1137" w:type="dxa"/>
            <w:tcBorders>
              <w:right w:val="double" w:color="auto" w:sz="4" w:space="0"/>
            </w:tcBorders>
            <w:shd w:val="clear" w:color="auto" w:fill="E0E0E0"/>
            <w:vAlign w:val="center"/>
          </w:tcPr>
          <w:p>
            <w:pPr>
              <w:pStyle w:val="33"/>
              <w:rPr>
                <w:bCs/>
                <w:color w:val="auto"/>
                <w:highlight w:val="none"/>
              </w:rPr>
            </w:pPr>
            <w:r>
              <w:rPr>
                <w:bCs/>
                <w:color w:val="auto"/>
                <w:highlight w:val="none"/>
              </w:rPr>
              <w:t>MCS Index</w:t>
            </w:r>
            <w:r>
              <w:rPr>
                <w:bCs/>
                <w:color w:val="auto"/>
                <w:highlight w:val="none"/>
              </w:rPr>
              <w:br w:type="textWrapping"/>
            </w:r>
            <w:r>
              <w:rPr>
                <w:color w:val="auto"/>
                <w:highlight w:val="none"/>
              </w:rPr>
              <w:object>
                <v:shape id="_x0000_i1037"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7">
                  <o:LockedField>false</o:LockedField>
                </o:OLEObject>
              </w:object>
            </w:r>
          </w:p>
        </w:tc>
        <w:tc>
          <w:tcPr>
            <w:tcW w:w="1716" w:type="dxa"/>
            <w:tcBorders>
              <w:left w:val="double" w:color="auto" w:sz="4" w:space="0"/>
            </w:tcBorders>
            <w:shd w:val="clear" w:color="auto" w:fill="E0E0E0"/>
            <w:vAlign w:val="center"/>
          </w:tcPr>
          <w:p>
            <w:pPr>
              <w:pStyle w:val="33"/>
              <w:rPr>
                <w:bCs/>
                <w:color w:val="auto"/>
                <w:highlight w:val="none"/>
              </w:rPr>
            </w:pPr>
            <w:r>
              <w:rPr>
                <w:bCs/>
                <w:color w:val="auto"/>
                <w:highlight w:val="none"/>
              </w:rPr>
              <w:t>Modulation Order</w:t>
            </w:r>
            <w:r>
              <w:rPr>
                <w:bCs/>
                <w:color w:val="auto"/>
                <w:highlight w:val="none"/>
              </w:rPr>
              <w:br w:type="textWrapping"/>
            </w:r>
            <w:r>
              <w:rPr>
                <w:bCs/>
                <w:color w:val="auto"/>
                <w:highlight w:val="none"/>
                <w:lang w:val="pt-BR"/>
              </w:rPr>
              <w:object>
                <v:shape id="_x0000_i1038"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38" DrawAspect="Content" ObjectID="_1468075738" r:id="rId28">
                  <o:LockedField>false</o:LockedField>
                </o:OLEObject>
              </w:object>
            </w:r>
          </w:p>
        </w:tc>
        <w:tc>
          <w:tcPr>
            <w:tcW w:w="1716" w:type="dxa"/>
            <w:shd w:val="clear" w:color="auto" w:fill="E0E0E0"/>
            <w:vAlign w:val="center"/>
          </w:tcPr>
          <w:p>
            <w:pPr>
              <w:pStyle w:val="33"/>
              <w:rPr>
                <w:bCs/>
                <w:color w:val="auto"/>
                <w:highlight w:val="none"/>
              </w:rPr>
            </w:pPr>
            <w:r>
              <w:rPr>
                <w:color w:val="auto"/>
                <w:highlight w:val="none"/>
              </w:rPr>
              <w:t>code rate x 1024</w:t>
            </w:r>
          </w:p>
        </w:tc>
        <w:tc>
          <w:tcPr>
            <w:tcW w:w="1097" w:type="dxa"/>
            <w:shd w:val="clear" w:color="auto" w:fill="E0E0E0"/>
            <w:vAlign w:val="center"/>
          </w:tcPr>
          <w:p>
            <w:pPr>
              <w:pStyle w:val="33"/>
              <w:rPr>
                <w:bCs/>
                <w:color w:val="A5A5A5" w:themeColor="background1" w:themeShade="A6"/>
                <w:highlight w:val="none"/>
              </w:rPr>
            </w:pPr>
            <w:r>
              <w:rPr>
                <w:bCs/>
                <w:color w:val="A5A5A5" w:themeColor="background1" w:themeShade="A6"/>
                <w:highlight w:val="none"/>
              </w:rPr>
              <w:t>TBS Index</w:t>
            </w:r>
            <w:r>
              <w:rPr>
                <w:bCs/>
                <w:color w:val="A5A5A5" w:themeColor="background1" w:themeShade="A6"/>
                <w:highlight w:val="none"/>
              </w:rPr>
              <w:br w:type="textWrapping"/>
            </w:r>
            <w:r>
              <w:rPr>
                <w:color w:val="A5A5A5" w:themeColor="background1" w:themeShade="A6"/>
                <w:highlight w:val="none"/>
              </w:rPr>
              <w:object>
                <v:shape id="_x0000_i1039"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9">
                  <o:LockedField>false</o:LockedField>
                </o:OLEObject>
              </w:object>
            </w:r>
          </w:p>
        </w:tc>
        <w:tc>
          <w:tcPr>
            <w:tcW w:w="1097" w:type="dxa"/>
            <w:tcBorders>
              <w:bottom w:val="double" w:color="auto" w:sz="4" w:space="0"/>
            </w:tcBorders>
            <w:shd w:val="clear" w:color="auto" w:fill="E0E0E0"/>
            <w:vAlign w:val="center"/>
          </w:tcPr>
          <w:p>
            <w:pPr>
              <w:pStyle w:val="33"/>
              <w:rPr>
                <w:rFonts w:eastAsia="宋体"/>
                <w:bCs/>
                <w:color w:val="auto"/>
                <w:highlight w:val="none"/>
                <w:lang w:val="en-US" w:eastAsia="zh-CN"/>
              </w:rPr>
            </w:pPr>
            <w:r>
              <w:rPr>
                <w:rFonts w:hint="eastAsia" w:eastAsia="宋体"/>
                <w:bCs/>
                <w:color w:val="auto"/>
                <w:highlight w:val="none"/>
                <w:lang w:val="en-US" w:eastAsia="zh-CN"/>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rPr>
            </w:pPr>
            <w:r>
              <w:rPr>
                <w:b/>
                <w:color w:val="auto"/>
                <w:highlight w:val="none"/>
              </w:rPr>
              <w:t>0</w:t>
            </w:r>
          </w:p>
        </w:tc>
        <w:tc>
          <w:tcPr>
            <w:tcW w:w="1716" w:type="dxa"/>
            <w:tcBorders>
              <w:top w:val="double" w:color="auto" w:sz="4" w:space="0"/>
              <w:left w:val="double" w:color="auto" w:sz="4" w:space="0"/>
            </w:tcBorders>
            <w:vAlign w:val="center"/>
          </w:tcPr>
          <w:p>
            <w:pPr>
              <w:pStyle w:val="34"/>
              <w:rPr>
                <w:color w:val="auto"/>
                <w:highlight w:val="none"/>
              </w:rPr>
            </w:pPr>
            <w:r>
              <w:rPr>
                <w:rFonts w:hint="eastAsia"/>
                <w:color w:val="auto"/>
                <w:highlight w:val="none"/>
              </w:rPr>
              <w:t>1</w:t>
            </w:r>
          </w:p>
        </w:tc>
        <w:tc>
          <w:tcPr>
            <w:tcW w:w="1716" w:type="dxa"/>
            <w:tcBorders>
              <w:top w:val="double" w:color="auto" w:sz="4" w:space="0"/>
            </w:tcBorders>
          </w:tcPr>
          <w:p>
            <w:pPr>
              <w:pStyle w:val="34"/>
              <w:rPr>
                <w:rFonts w:eastAsiaTheme="minorEastAsia"/>
                <w:color w:val="auto"/>
                <w:highlight w:val="none"/>
                <w:lang w:eastAsia="zh-CN"/>
              </w:rPr>
            </w:pPr>
            <w:r>
              <w:rPr>
                <w:rFonts w:hint="eastAsia" w:eastAsiaTheme="minorEastAsia"/>
                <w:color w:val="auto"/>
                <w:highlight w:val="none"/>
                <w:lang w:eastAsia="zh-CN"/>
              </w:rPr>
              <w:t>200</w:t>
            </w:r>
          </w:p>
        </w:tc>
        <w:tc>
          <w:tcPr>
            <w:tcW w:w="1097" w:type="dxa"/>
            <w:tcBorders>
              <w:top w:val="double" w:color="auto" w:sz="4" w:space="0"/>
            </w:tcBorders>
            <w:vAlign w:val="center"/>
          </w:tcPr>
          <w:p>
            <w:pPr>
              <w:pStyle w:val="34"/>
              <w:rPr>
                <w:rFonts w:eastAsiaTheme="minorEastAsia"/>
                <w:color w:val="A5A5A5" w:themeColor="background1" w:themeShade="A6"/>
                <w:highlight w:val="none"/>
                <w:lang w:val="en-US" w:eastAsia="zh-CN"/>
              </w:rPr>
            </w:pPr>
            <w:r>
              <w:rPr>
                <w:color w:val="A5A5A5" w:themeColor="background1" w:themeShade="A6"/>
                <w:highlight w:val="none"/>
              </w:rPr>
              <w:t>0</w:t>
            </w:r>
          </w:p>
        </w:tc>
        <w:tc>
          <w:tcPr>
            <w:tcW w:w="1097" w:type="dxa"/>
            <w:tcBorders>
              <w:top w:val="double" w:color="auto" w:sz="4" w:space="0"/>
            </w:tcBorders>
          </w:tcPr>
          <w:p>
            <w:pPr>
              <w:pStyle w:val="12"/>
              <w:jc w:val="center"/>
              <w:rPr>
                <w:color w:val="auto"/>
                <w:highlight w:val="none"/>
              </w:rPr>
            </w:pPr>
            <w:r>
              <w:rPr>
                <w:iCs/>
                <w:color w:val="auto"/>
                <w:highlight w:val="none"/>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rPr>
            </w:pPr>
            <w:r>
              <w:rPr>
                <w:rFonts w:hint="eastAsia"/>
                <w:b/>
                <w:color w:val="auto"/>
                <w:highlight w:val="none"/>
              </w:rPr>
              <w:t>1</w:t>
            </w:r>
          </w:p>
        </w:tc>
        <w:tc>
          <w:tcPr>
            <w:tcW w:w="1716" w:type="dxa"/>
            <w:tcBorders>
              <w:top w:val="double" w:color="auto" w:sz="4" w:space="0"/>
              <w:left w:val="double" w:color="auto" w:sz="4" w:space="0"/>
            </w:tcBorders>
            <w:vAlign w:val="center"/>
          </w:tcPr>
          <w:p>
            <w:pPr>
              <w:pStyle w:val="34"/>
              <w:rPr>
                <w:color w:val="auto"/>
                <w:highlight w:val="none"/>
              </w:rPr>
            </w:pPr>
            <w:r>
              <w:rPr>
                <w:rFonts w:hint="eastAsia"/>
                <w:color w:val="auto"/>
                <w:highlight w:val="none"/>
              </w:rPr>
              <w:t>1</w:t>
            </w:r>
          </w:p>
        </w:tc>
        <w:tc>
          <w:tcPr>
            <w:tcW w:w="1716" w:type="dxa"/>
            <w:tcBorders>
              <w:top w:val="double" w:color="auto" w:sz="4" w:space="0"/>
            </w:tcBorders>
          </w:tcPr>
          <w:p>
            <w:pPr>
              <w:pStyle w:val="34"/>
              <w:rPr>
                <w:rFonts w:eastAsiaTheme="minorEastAsia"/>
                <w:color w:val="auto"/>
                <w:highlight w:val="none"/>
                <w:lang w:eastAsia="zh-CN"/>
              </w:rPr>
            </w:pPr>
            <w:r>
              <w:rPr>
                <w:rFonts w:hint="eastAsia" w:eastAsiaTheme="minorEastAsia"/>
                <w:color w:val="auto"/>
                <w:highlight w:val="none"/>
                <w:lang w:eastAsia="zh-CN"/>
              </w:rPr>
              <w:t>260</w:t>
            </w:r>
          </w:p>
        </w:tc>
        <w:tc>
          <w:tcPr>
            <w:tcW w:w="1097" w:type="dxa"/>
            <w:tcBorders>
              <w:top w:val="double" w:color="auto" w:sz="4" w:space="0"/>
            </w:tcBorders>
            <w:vAlign w:val="center"/>
          </w:tcPr>
          <w:p>
            <w:pPr>
              <w:pStyle w:val="34"/>
              <w:rPr>
                <w:rFonts w:eastAsiaTheme="minorEastAsia"/>
                <w:color w:val="A5A5A5" w:themeColor="background1" w:themeShade="A6"/>
                <w:highlight w:val="none"/>
                <w:lang w:val="en-US" w:eastAsia="zh-CN"/>
              </w:rPr>
            </w:pPr>
            <w:r>
              <w:rPr>
                <w:color w:val="A5A5A5" w:themeColor="background1" w:themeShade="A6"/>
                <w:highlight w:val="none"/>
              </w:rPr>
              <w:t>1</w:t>
            </w:r>
          </w:p>
        </w:tc>
        <w:tc>
          <w:tcPr>
            <w:tcW w:w="1097" w:type="dxa"/>
            <w:tcBorders>
              <w:top w:val="double" w:color="auto" w:sz="4" w:space="0"/>
            </w:tcBorders>
          </w:tcPr>
          <w:p>
            <w:pPr>
              <w:pStyle w:val="12"/>
              <w:jc w:val="center"/>
              <w:rPr>
                <w:color w:val="auto"/>
                <w:highlight w:val="none"/>
              </w:rPr>
            </w:pPr>
            <w:r>
              <w:rPr>
                <w:iCs/>
                <w:color w:val="auto"/>
                <w:highlight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rPr>
            </w:pPr>
            <w:r>
              <w:rPr>
                <w:rFonts w:hint="eastAsia"/>
                <w:b/>
                <w:color w:val="auto"/>
                <w:highlight w:val="none"/>
              </w:rPr>
              <w:t>2</w:t>
            </w:r>
          </w:p>
        </w:tc>
        <w:tc>
          <w:tcPr>
            <w:tcW w:w="1716" w:type="dxa"/>
            <w:tcBorders>
              <w:top w:val="double" w:color="auto" w:sz="4" w:space="0"/>
              <w:left w:val="double" w:color="auto" w:sz="4" w:space="0"/>
            </w:tcBorders>
          </w:tcPr>
          <w:p>
            <w:pPr>
              <w:pStyle w:val="34"/>
              <w:rPr>
                <w:rFonts w:eastAsiaTheme="minorEastAsia"/>
                <w:color w:val="auto"/>
                <w:highlight w:val="none"/>
                <w:lang w:eastAsia="zh-CN"/>
              </w:rPr>
            </w:pPr>
            <w:r>
              <w:rPr>
                <w:rFonts w:hint="eastAsia" w:eastAsiaTheme="minorEastAsia"/>
                <w:color w:val="auto"/>
                <w:highlight w:val="none"/>
                <w:lang w:eastAsia="zh-CN"/>
              </w:rPr>
              <w:t>2</w:t>
            </w:r>
          </w:p>
        </w:tc>
        <w:tc>
          <w:tcPr>
            <w:tcW w:w="1716" w:type="dxa"/>
            <w:tcBorders>
              <w:top w:val="double" w:color="auto" w:sz="4" w:space="0"/>
            </w:tcBorders>
          </w:tcPr>
          <w:p>
            <w:pPr>
              <w:pStyle w:val="34"/>
              <w:rPr>
                <w:color w:val="auto"/>
                <w:highlight w:val="none"/>
              </w:rPr>
            </w:pPr>
            <w:r>
              <w:rPr>
                <w:rFonts w:hint="eastAsia"/>
                <w:color w:val="auto"/>
                <w:highlight w:val="none"/>
              </w:rPr>
              <w:t>161</w:t>
            </w:r>
          </w:p>
        </w:tc>
        <w:tc>
          <w:tcPr>
            <w:tcW w:w="1097" w:type="dxa"/>
            <w:tcBorders>
              <w:top w:val="double" w:color="auto" w:sz="4" w:space="0"/>
            </w:tcBorders>
            <w:vAlign w:val="center"/>
          </w:tcPr>
          <w:p>
            <w:pPr>
              <w:pStyle w:val="34"/>
              <w:rPr>
                <w:rFonts w:eastAsiaTheme="minorEastAsia"/>
                <w:color w:val="A5A5A5" w:themeColor="background1" w:themeShade="A6"/>
                <w:highlight w:val="none"/>
                <w:lang w:val="en-US" w:eastAsia="zh-CN"/>
              </w:rPr>
            </w:pPr>
            <w:r>
              <w:rPr>
                <w:color w:val="A5A5A5" w:themeColor="background1" w:themeShade="A6"/>
                <w:highlight w:val="none"/>
              </w:rPr>
              <w:t>2</w:t>
            </w:r>
          </w:p>
        </w:tc>
        <w:tc>
          <w:tcPr>
            <w:tcW w:w="1097" w:type="dxa"/>
            <w:tcBorders>
              <w:top w:val="double" w:color="auto" w:sz="4" w:space="0"/>
            </w:tcBorders>
          </w:tcPr>
          <w:p>
            <w:pPr>
              <w:pStyle w:val="12"/>
              <w:jc w:val="center"/>
              <w:rPr>
                <w:color w:val="auto"/>
                <w:highlight w:val="none"/>
              </w:rPr>
            </w:pPr>
            <w:r>
              <w:rPr>
                <w:iCs/>
                <w:color w:val="auto"/>
                <w:highlight w:val="none"/>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3</w:t>
            </w:r>
          </w:p>
        </w:tc>
        <w:tc>
          <w:tcPr>
            <w:tcW w:w="1716" w:type="dxa"/>
            <w:tcBorders>
              <w:left w:val="double" w:color="auto" w:sz="4" w:space="0"/>
            </w:tcBorders>
          </w:tcPr>
          <w:p>
            <w:pPr>
              <w:pStyle w:val="34"/>
              <w:rPr>
                <w:rFonts w:eastAsiaTheme="minorEastAsia"/>
                <w:color w:val="auto"/>
                <w:highlight w:val="none"/>
                <w:lang w:eastAsia="zh-CN"/>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209</w:t>
            </w:r>
          </w:p>
        </w:tc>
        <w:tc>
          <w:tcPr>
            <w:tcW w:w="1097" w:type="dxa"/>
            <w:vAlign w:val="center"/>
          </w:tcPr>
          <w:p>
            <w:pPr>
              <w:pStyle w:val="34"/>
              <w:rPr>
                <w:color w:val="A5A5A5" w:themeColor="background1" w:themeShade="A6"/>
                <w:highlight w:val="none"/>
              </w:rPr>
            </w:pPr>
            <w:r>
              <w:rPr>
                <w:color w:val="A5A5A5" w:themeColor="background1" w:themeShade="A6"/>
                <w:highlight w:val="none"/>
              </w:rPr>
              <w:t>3</w:t>
            </w:r>
          </w:p>
        </w:tc>
        <w:tc>
          <w:tcPr>
            <w:tcW w:w="1097" w:type="dxa"/>
          </w:tcPr>
          <w:p>
            <w:pPr>
              <w:pStyle w:val="12"/>
              <w:jc w:val="center"/>
              <w:rPr>
                <w:color w:val="auto"/>
                <w:highlight w:val="none"/>
              </w:rPr>
            </w:pPr>
            <w:r>
              <w:rPr>
                <w:iCs/>
                <w:color w:val="auto"/>
                <w:highlight w:val="none"/>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4</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257</w:t>
            </w:r>
          </w:p>
        </w:tc>
        <w:tc>
          <w:tcPr>
            <w:tcW w:w="1097" w:type="dxa"/>
            <w:vAlign w:val="center"/>
          </w:tcPr>
          <w:p>
            <w:pPr>
              <w:pStyle w:val="34"/>
              <w:rPr>
                <w:color w:val="A5A5A5" w:themeColor="background1" w:themeShade="A6"/>
                <w:highlight w:val="none"/>
              </w:rPr>
            </w:pPr>
            <w:r>
              <w:rPr>
                <w:color w:val="A5A5A5" w:themeColor="background1" w:themeShade="A6"/>
                <w:highlight w:val="none"/>
              </w:rPr>
              <w:t>4</w:t>
            </w:r>
          </w:p>
        </w:tc>
        <w:tc>
          <w:tcPr>
            <w:tcW w:w="1097" w:type="dxa"/>
          </w:tcPr>
          <w:p>
            <w:pPr>
              <w:pStyle w:val="12"/>
              <w:jc w:val="center"/>
              <w:rPr>
                <w:color w:val="auto"/>
                <w:highlight w:val="none"/>
              </w:rPr>
            </w:pPr>
            <w:r>
              <w:rPr>
                <w:iCs/>
                <w:color w:val="auto"/>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5</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315</w:t>
            </w:r>
          </w:p>
        </w:tc>
        <w:tc>
          <w:tcPr>
            <w:tcW w:w="1097" w:type="dxa"/>
            <w:vAlign w:val="center"/>
          </w:tcPr>
          <w:p>
            <w:pPr>
              <w:pStyle w:val="34"/>
              <w:rPr>
                <w:color w:val="A5A5A5" w:themeColor="background1" w:themeShade="A6"/>
                <w:highlight w:val="none"/>
              </w:rPr>
            </w:pPr>
            <w:r>
              <w:rPr>
                <w:color w:val="A5A5A5" w:themeColor="background1" w:themeShade="A6"/>
                <w:highlight w:val="none"/>
              </w:rPr>
              <w:t>5</w:t>
            </w:r>
          </w:p>
        </w:tc>
        <w:tc>
          <w:tcPr>
            <w:tcW w:w="1097" w:type="dxa"/>
          </w:tcPr>
          <w:p>
            <w:pPr>
              <w:pStyle w:val="12"/>
              <w:jc w:val="center"/>
              <w:rPr>
                <w:color w:val="auto"/>
                <w:highlight w:val="none"/>
              </w:rPr>
            </w:pPr>
            <w:r>
              <w:rPr>
                <w:iCs/>
                <w:color w:val="auto"/>
                <w:highlight w:val="none"/>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6</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374</w:t>
            </w:r>
          </w:p>
        </w:tc>
        <w:tc>
          <w:tcPr>
            <w:tcW w:w="1097" w:type="dxa"/>
            <w:vAlign w:val="center"/>
          </w:tcPr>
          <w:p>
            <w:pPr>
              <w:pStyle w:val="34"/>
              <w:rPr>
                <w:color w:val="A5A5A5" w:themeColor="background1" w:themeShade="A6"/>
                <w:highlight w:val="none"/>
              </w:rPr>
            </w:pPr>
            <w:r>
              <w:rPr>
                <w:color w:val="A5A5A5" w:themeColor="background1" w:themeShade="A6"/>
                <w:highlight w:val="none"/>
              </w:rPr>
              <w:t>6</w:t>
            </w:r>
          </w:p>
        </w:tc>
        <w:tc>
          <w:tcPr>
            <w:tcW w:w="1097" w:type="dxa"/>
          </w:tcPr>
          <w:p>
            <w:pPr>
              <w:pStyle w:val="12"/>
              <w:jc w:val="center"/>
              <w:rPr>
                <w:color w:val="auto"/>
                <w:highlight w:val="none"/>
              </w:rPr>
            </w:pPr>
            <w:r>
              <w:rPr>
                <w:iCs/>
                <w:color w:val="auto"/>
                <w:highlight w:val="none"/>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7</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438</w:t>
            </w:r>
          </w:p>
        </w:tc>
        <w:tc>
          <w:tcPr>
            <w:tcW w:w="1097" w:type="dxa"/>
            <w:vAlign w:val="center"/>
          </w:tcPr>
          <w:p>
            <w:pPr>
              <w:pStyle w:val="34"/>
              <w:rPr>
                <w:color w:val="A5A5A5" w:themeColor="background1" w:themeShade="A6"/>
                <w:highlight w:val="none"/>
              </w:rPr>
            </w:pPr>
            <w:r>
              <w:rPr>
                <w:color w:val="A5A5A5" w:themeColor="background1" w:themeShade="A6"/>
                <w:highlight w:val="none"/>
              </w:rPr>
              <w:t>7</w:t>
            </w:r>
          </w:p>
        </w:tc>
        <w:tc>
          <w:tcPr>
            <w:tcW w:w="1097" w:type="dxa"/>
          </w:tcPr>
          <w:p>
            <w:pPr>
              <w:pStyle w:val="12"/>
              <w:jc w:val="center"/>
              <w:rPr>
                <w:color w:val="auto"/>
                <w:highlight w:val="none"/>
              </w:rPr>
            </w:pPr>
            <w:r>
              <w:rPr>
                <w:iCs/>
                <w:color w:val="auto"/>
                <w:highlight w:val="none"/>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8</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502</w:t>
            </w:r>
          </w:p>
        </w:tc>
        <w:tc>
          <w:tcPr>
            <w:tcW w:w="1097" w:type="dxa"/>
            <w:vAlign w:val="center"/>
          </w:tcPr>
          <w:p>
            <w:pPr>
              <w:pStyle w:val="34"/>
              <w:rPr>
                <w:color w:val="A5A5A5" w:themeColor="background1" w:themeShade="A6"/>
                <w:highlight w:val="none"/>
              </w:rPr>
            </w:pPr>
            <w:r>
              <w:rPr>
                <w:color w:val="A5A5A5" w:themeColor="background1" w:themeShade="A6"/>
                <w:highlight w:val="none"/>
              </w:rPr>
              <w:t>8</w:t>
            </w:r>
          </w:p>
        </w:tc>
        <w:tc>
          <w:tcPr>
            <w:tcW w:w="1097" w:type="dxa"/>
          </w:tcPr>
          <w:p>
            <w:pPr>
              <w:pStyle w:val="12"/>
              <w:jc w:val="center"/>
              <w:rPr>
                <w:color w:val="auto"/>
                <w:highlight w:val="none"/>
              </w:rPr>
            </w:pPr>
            <w:r>
              <w:rPr>
                <w:iCs/>
                <w:color w:val="auto"/>
                <w:highlight w:val="none"/>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9</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566</w:t>
            </w:r>
          </w:p>
        </w:tc>
        <w:tc>
          <w:tcPr>
            <w:tcW w:w="1097" w:type="dxa"/>
            <w:vAlign w:val="center"/>
          </w:tcPr>
          <w:p>
            <w:pPr>
              <w:pStyle w:val="34"/>
              <w:rPr>
                <w:color w:val="A5A5A5" w:themeColor="background1" w:themeShade="A6"/>
                <w:highlight w:val="none"/>
              </w:rPr>
            </w:pPr>
            <w:r>
              <w:rPr>
                <w:color w:val="A5A5A5" w:themeColor="background1" w:themeShade="A6"/>
                <w:highlight w:val="none"/>
              </w:rPr>
              <w:t>9</w:t>
            </w:r>
          </w:p>
        </w:tc>
        <w:tc>
          <w:tcPr>
            <w:tcW w:w="1097" w:type="dxa"/>
          </w:tcPr>
          <w:p>
            <w:pPr>
              <w:pStyle w:val="12"/>
              <w:jc w:val="center"/>
              <w:rPr>
                <w:color w:val="auto"/>
                <w:highlight w:val="none"/>
              </w:rPr>
            </w:pPr>
            <w:r>
              <w:rPr>
                <w:iCs/>
                <w:color w:val="auto"/>
                <w:highlight w:val="none"/>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10</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2</w:t>
            </w:r>
          </w:p>
        </w:tc>
        <w:tc>
          <w:tcPr>
            <w:tcW w:w="1716" w:type="dxa"/>
          </w:tcPr>
          <w:p>
            <w:pPr>
              <w:pStyle w:val="34"/>
              <w:rPr>
                <w:color w:val="auto"/>
                <w:highlight w:val="none"/>
              </w:rPr>
            </w:pPr>
            <w:r>
              <w:rPr>
                <w:rFonts w:hint="eastAsia"/>
                <w:color w:val="auto"/>
                <w:highlight w:val="none"/>
              </w:rPr>
              <w:t>630</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10</w:t>
            </w:r>
          </w:p>
        </w:tc>
        <w:tc>
          <w:tcPr>
            <w:tcW w:w="1097" w:type="dxa"/>
          </w:tcPr>
          <w:p>
            <w:pPr>
              <w:pStyle w:val="12"/>
              <w:jc w:val="center"/>
              <w:rPr>
                <w:color w:val="auto"/>
                <w:highlight w:val="none"/>
              </w:rPr>
            </w:pPr>
            <w:r>
              <w:rPr>
                <w:iCs/>
                <w:color w:val="auto"/>
                <w:highlight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rFonts w:hint="eastAsia"/>
                <w:b/>
                <w:color w:val="auto"/>
                <w:highlight w:val="none"/>
              </w:rPr>
              <w:t>11</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315</w:t>
            </w:r>
          </w:p>
        </w:tc>
        <w:tc>
          <w:tcPr>
            <w:tcW w:w="1097" w:type="dxa"/>
            <w:vAlign w:val="center"/>
          </w:tcPr>
          <w:p>
            <w:pPr>
              <w:pStyle w:val="34"/>
              <w:rPr>
                <w:color w:val="A5A5A5" w:themeColor="background1" w:themeShade="A6"/>
                <w:highlight w:val="none"/>
              </w:rPr>
            </w:pPr>
            <w:r>
              <w:rPr>
                <w:color w:val="A5A5A5" w:themeColor="background1" w:themeShade="A6"/>
                <w:highlight w:val="none"/>
              </w:rPr>
              <w:t>10</w:t>
            </w:r>
          </w:p>
        </w:tc>
        <w:tc>
          <w:tcPr>
            <w:tcW w:w="1097" w:type="dxa"/>
          </w:tcPr>
          <w:p>
            <w:pPr>
              <w:pStyle w:val="12"/>
              <w:jc w:val="center"/>
              <w:rPr>
                <w:color w:val="auto"/>
                <w:highlight w:val="none"/>
              </w:rPr>
            </w:pPr>
            <w:r>
              <w:rPr>
                <w:iCs/>
                <w:color w:val="auto"/>
                <w:highlight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w:t>
            </w:r>
            <w:r>
              <w:rPr>
                <w:rFonts w:hint="eastAsia"/>
                <w:b/>
                <w:color w:val="auto"/>
                <w:highlight w:val="none"/>
              </w:rPr>
              <w:t>2</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362</w:t>
            </w:r>
          </w:p>
        </w:tc>
        <w:tc>
          <w:tcPr>
            <w:tcW w:w="1097" w:type="dxa"/>
            <w:vAlign w:val="center"/>
          </w:tcPr>
          <w:p>
            <w:pPr>
              <w:pStyle w:val="34"/>
              <w:rPr>
                <w:color w:val="A5A5A5" w:themeColor="background1" w:themeShade="A6"/>
                <w:highlight w:val="none"/>
              </w:rPr>
            </w:pPr>
            <w:r>
              <w:rPr>
                <w:color w:val="A5A5A5" w:themeColor="background1" w:themeShade="A6"/>
                <w:highlight w:val="none"/>
              </w:rPr>
              <w:t>11</w:t>
            </w:r>
          </w:p>
        </w:tc>
        <w:tc>
          <w:tcPr>
            <w:tcW w:w="1097" w:type="dxa"/>
          </w:tcPr>
          <w:p>
            <w:pPr>
              <w:pStyle w:val="12"/>
              <w:jc w:val="center"/>
              <w:rPr>
                <w:color w:val="auto"/>
                <w:highlight w:val="none"/>
              </w:rPr>
            </w:pPr>
            <w:r>
              <w:rPr>
                <w:iCs/>
                <w:color w:val="auto"/>
                <w:highlight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w:t>
            </w:r>
            <w:r>
              <w:rPr>
                <w:rFonts w:hint="eastAsia"/>
                <w:b/>
                <w:color w:val="auto"/>
                <w:highlight w:val="none"/>
              </w:rPr>
              <w:t>3</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408</w:t>
            </w:r>
          </w:p>
        </w:tc>
        <w:tc>
          <w:tcPr>
            <w:tcW w:w="1097" w:type="dxa"/>
            <w:vAlign w:val="center"/>
          </w:tcPr>
          <w:p>
            <w:pPr>
              <w:pStyle w:val="34"/>
              <w:rPr>
                <w:color w:val="A5A5A5" w:themeColor="background1" w:themeShade="A6"/>
                <w:highlight w:val="none"/>
              </w:rPr>
            </w:pPr>
            <w:r>
              <w:rPr>
                <w:color w:val="A5A5A5" w:themeColor="background1" w:themeShade="A6"/>
                <w:highlight w:val="none"/>
              </w:rPr>
              <w:t>12</w:t>
            </w:r>
          </w:p>
        </w:tc>
        <w:tc>
          <w:tcPr>
            <w:tcW w:w="1097" w:type="dxa"/>
          </w:tcPr>
          <w:p>
            <w:pPr>
              <w:pStyle w:val="12"/>
              <w:jc w:val="center"/>
              <w:rPr>
                <w:color w:val="auto"/>
                <w:highlight w:val="none"/>
              </w:rPr>
            </w:pPr>
            <w:r>
              <w:rPr>
                <w:iCs/>
                <w:color w:val="auto"/>
                <w:highlight w:val="none"/>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14</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461</w:t>
            </w:r>
          </w:p>
        </w:tc>
        <w:tc>
          <w:tcPr>
            <w:tcW w:w="1097" w:type="dxa"/>
            <w:vAlign w:val="center"/>
          </w:tcPr>
          <w:p>
            <w:pPr>
              <w:pStyle w:val="34"/>
              <w:rPr>
                <w:color w:val="A5A5A5" w:themeColor="background1" w:themeShade="A6"/>
                <w:highlight w:val="none"/>
              </w:rPr>
            </w:pPr>
            <w:r>
              <w:rPr>
                <w:color w:val="A5A5A5" w:themeColor="background1" w:themeShade="A6"/>
                <w:highlight w:val="none"/>
              </w:rPr>
              <w:t>13</w:t>
            </w:r>
          </w:p>
        </w:tc>
        <w:tc>
          <w:tcPr>
            <w:tcW w:w="1097" w:type="dxa"/>
          </w:tcPr>
          <w:p>
            <w:pPr>
              <w:pStyle w:val="12"/>
              <w:jc w:val="center"/>
              <w:rPr>
                <w:color w:val="auto"/>
                <w:highlight w:val="none"/>
              </w:rPr>
            </w:pPr>
            <w:r>
              <w:rPr>
                <w:iCs/>
                <w:color w:val="auto"/>
                <w:highlight w:val="non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15</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513</w:t>
            </w:r>
          </w:p>
        </w:tc>
        <w:tc>
          <w:tcPr>
            <w:tcW w:w="1097" w:type="dxa"/>
            <w:vAlign w:val="center"/>
          </w:tcPr>
          <w:p>
            <w:pPr>
              <w:pStyle w:val="34"/>
              <w:rPr>
                <w:color w:val="A5A5A5" w:themeColor="background1" w:themeShade="A6"/>
                <w:highlight w:val="none"/>
              </w:rPr>
            </w:pPr>
            <w:r>
              <w:rPr>
                <w:color w:val="A5A5A5" w:themeColor="background1" w:themeShade="A6"/>
                <w:highlight w:val="none"/>
              </w:rPr>
              <w:t>14</w:t>
            </w:r>
          </w:p>
        </w:tc>
        <w:tc>
          <w:tcPr>
            <w:tcW w:w="1097" w:type="dxa"/>
          </w:tcPr>
          <w:p>
            <w:pPr>
              <w:pStyle w:val="12"/>
              <w:jc w:val="center"/>
              <w:rPr>
                <w:color w:val="auto"/>
                <w:highlight w:val="none"/>
              </w:rPr>
            </w:pPr>
            <w:r>
              <w:rPr>
                <w:iCs/>
                <w:color w:val="auto"/>
                <w:highlight w:val="non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16</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548</w:t>
            </w:r>
          </w:p>
        </w:tc>
        <w:tc>
          <w:tcPr>
            <w:tcW w:w="1097" w:type="dxa"/>
            <w:vAlign w:val="center"/>
          </w:tcPr>
          <w:p>
            <w:pPr>
              <w:pStyle w:val="34"/>
              <w:rPr>
                <w:color w:val="A5A5A5" w:themeColor="background1" w:themeShade="A6"/>
                <w:highlight w:val="none"/>
              </w:rPr>
            </w:pPr>
            <w:r>
              <w:rPr>
                <w:color w:val="A5A5A5" w:themeColor="background1" w:themeShade="A6"/>
                <w:highlight w:val="none"/>
              </w:rPr>
              <w:t>15</w:t>
            </w:r>
          </w:p>
        </w:tc>
        <w:tc>
          <w:tcPr>
            <w:tcW w:w="1097" w:type="dxa"/>
          </w:tcPr>
          <w:p>
            <w:pPr>
              <w:pStyle w:val="12"/>
              <w:jc w:val="center"/>
              <w:rPr>
                <w:color w:val="auto"/>
                <w:highlight w:val="none"/>
              </w:rPr>
            </w:pPr>
            <w:r>
              <w:rPr>
                <w:iCs/>
                <w:color w:val="auto"/>
                <w:highlight w:val="none"/>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17</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583</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16</w:t>
            </w:r>
          </w:p>
        </w:tc>
        <w:tc>
          <w:tcPr>
            <w:tcW w:w="1097" w:type="dxa"/>
          </w:tcPr>
          <w:p>
            <w:pPr>
              <w:pStyle w:val="12"/>
              <w:jc w:val="center"/>
              <w:rPr>
                <w:color w:val="auto"/>
                <w:highlight w:val="none"/>
              </w:rPr>
            </w:pPr>
            <w:r>
              <w:rPr>
                <w:iCs/>
                <w:color w:val="auto"/>
                <w:highlight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18</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646</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17</w:t>
            </w:r>
          </w:p>
        </w:tc>
        <w:tc>
          <w:tcPr>
            <w:tcW w:w="1097" w:type="dxa"/>
          </w:tcPr>
          <w:p>
            <w:pPr>
              <w:pStyle w:val="12"/>
              <w:jc w:val="center"/>
              <w:rPr>
                <w:color w:val="auto"/>
                <w:highlight w:val="none"/>
              </w:rPr>
            </w:pPr>
            <w:r>
              <w:rPr>
                <w:iCs/>
                <w:color w:val="auto"/>
                <w:highlight w:val="none"/>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19</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709</w:t>
            </w:r>
          </w:p>
        </w:tc>
        <w:tc>
          <w:tcPr>
            <w:tcW w:w="1097" w:type="dxa"/>
            <w:vAlign w:val="center"/>
          </w:tcPr>
          <w:p>
            <w:pPr>
              <w:pStyle w:val="34"/>
              <w:rPr>
                <w:color w:val="A5A5A5" w:themeColor="background1" w:themeShade="A6"/>
                <w:highlight w:val="none"/>
              </w:rPr>
            </w:pPr>
            <w:r>
              <w:rPr>
                <w:rFonts w:hint="eastAsia"/>
                <w:color w:val="A5A5A5" w:themeColor="background1" w:themeShade="A6"/>
                <w:highlight w:val="none"/>
              </w:rPr>
              <w:t>18</w:t>
            </w:r>
          </w:p>
        </w:tc>
        <w:tc>
          <w:tcPr>
            <w:tcW w:w="1097" w:type="dxa"/>
          </w:tcPr>
          <w:p>
            <w:pPr>
              <w:pStyle w:val="12"/>
              <w:jc w:val="center"/>
              <w:rPr>
                <w:color w:val="auto"/>
                <w:highlight w:val="none"/>
              </w:rPr>
            </w:pPr>
            <w:r>
              <w:rPr>
                <w:iCs/>
                <w:color w:val="auto"/>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20</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4</w:t>
            </w:r>
          </w:p>
        </w:tc>
        <w:tc>
          <w:tcPr>
            <w:tcW w:w="1716" w:type="dxa"/>
          </w:tcPr>
          <w:p>
            <w:pPr>
              <w:pStyle w:val="34"/>
              <w:rPr>
                <w:color w:val="auto"/>
                <w:highlight w:val="none"/>
              </w:rPr>
            </w:pPr>
            <w:r>
              <w:rPr>
                <w:rFonts w:hint="eastAsia"/>
                <w:color w:val="auto"/>
                <w:highlight w:val="none"/>
              </w:rPr>
              <w:t>771</w:t>
            </w:r>
          </w:p>
        </w:tc>
        <w:tc>
          <w:tcPr>
            <w:tcW w:w="1097" w:type="dxa"/>
            <w:vAlign w:val="center"/>
          </w:tcPr>
          <w:p>
            <w:pPr>
              <w:pStyle w:val="34"/>
              <w:rPr>
                <w:color w:val="A5A5A5" w:themeColor="background1" w:themeShade="A6"/>
                <w:highlight w:val="none"/>
              </w:rPr>
            </w:pPr>
            <w:r>
              <w:rPr>
                <w:color w:val="A5A5A5" w:themeColor="background1" w:themeShade="A6"/>
                <w:highlight w:val="none"/>
              </w:rPr>
              <w:t>1</w:t>
            </w:r>
            <w:r>
              <w:rPr>
                <w:rFonts w:hint="eastAsia"/>
                <w:color w:val="A5A5A5" w:themeColor="background1" w:themeShade="A6"/>
                <w:highlight w:val="none"/>
              </w:rPr>
              <w:t>9</w:t>
            </w:r>
          </w:p>
        </w:tc>
        <w:tc>
          <w:tcPr>
            <w:tcW w:w="1097" w:type="dxa"/>
          </w:tcPr>
          <w:p>
            <w:pPr>
              <w:pStyle w:val="12"/>
              <w:jc w:val="center"/>
              <w:rPr>
                <w:color w:val="auto"/>
                <w:highlight w:val="none"/>
              </w:rPr>
            </w:pPr>
            <w:r>
              <w:rPr>
                <w:iCs/>
                <w:color w:val="auto"/>
                <w:highlight w:val="none"/>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21</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555</w:t>
            </w:r>
          </w:p>
        </w:tc>
        <w:tc>
          <w:tcPr>
            <w:tcW w:w="1097" w:type="dxa"/>
            <w:vAlign w:val="center"/>
          </w:tcPr>
          <w:p>
            <w:pPr>
              <w:pStyle w:val="34"/>
              <w:rPr>
                <w:color w:val="A5A5A5" w:themeColor="background1" w:themeShade="A6"/>
                <w:highlight w:val="none"/>
              </w:rPr>
            </w:pPr>
            <w:r>
              <w:rPr>
                <w:color w:val="A5A5A5" w:themeColor="background1" w:themeShade="A6"/>
                <w:highlight w:val="none"/>
              </w:rPr>
              <w:t>20</w:t>
            </w:r>
          </w:p>
        </w:tc>
        <w:tc>
          <w:tcPr>
            <w:tcW w:w="1097" w:type="dxa"/>
          </w:tcPr>
          <w:p>
            <w:pPr>
              <w:pStyle w:val="12"/>
              <w:jc w:val="center"/>
              <w:rPr>
                <w:color w:val="auto"/>
                <w:highlight w:val="none"/>
              </w:rPr>
            </w:pPr>
            <w:r>
              <w:rPr>
                <w:iCs/>
                <w:color w:val="auto"/>
                <w:highlight w:val="none"/>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22</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599</w:t>
            </w:r>
          </w:p>
        </w:tc>
        <w:tc>
          <w:tcPr>
            <w:tcW w:w="1097" w:type="dxa"/>
            <w:vAlign w:val="center"/>
          </w:tcPr>
          <w:p>
            <w:pPr>
              <w:pStyle w:val="34"/>
              <w:rPr>
                <w:color w:val="A5A5A5" w:themeColor="background1" w:themeShade="A6"/>
                <w:highlight w:val="none"/>
              </w:rPr>
            </w:pPr>
            <w:r>
              <w:rPr>
                <w:color w:val="A5A5A5" w:themeColor="background1" w:themeShade="A6"/>
                <w:highlight w:val="none"/>
              </w:rPr>
              <w:t>21</w:t>
            </w:r>
          </w:p>
        </w:tc>
        <w:tc>
          <w:tcPr>
            <w:tcW w:w="1097" w:type="dxa"/>
          </w:tcPr>
          <w:p>
            <w:pPr>
              <w:pStyle w:val="12"/>
              <w:jc w:val="center"/>
              <w:rPr>
                <w:color w:val="auto"/>
                <w:highlight w:val="none"/>
              </w:rPr>
            </w:pPr>
            <w:r>
              <w:rPr>
                <w:iCs/>
                <w:color w:val="auto"/>
                <w:highlight w:val="none"/>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23</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643</w:t>
            </w:r>
          </w:p>
        </w:tc>
        <w:tc>
          <w:tcPr>
            <w:tcW w:w="1097" w:type="dxa"/>
            <w:vAlign w:val="center"/>
          </w:tcPr>
          <w:p>
            <w:pPr>
              <w:pStyle w:val="34"/>
              <w:rPr>
                <w:color w:val="A5A5A5" w:themeColor="background1" w:themeShade="A6"/>
                <w:highlight w:val="none"/>
              </w:rPr>
            </w:pPr>
            <w:r>
              <w:rPr>
                <w:color w:val="A5A5A5" w:themeColor="background1" w:themeShade="A6"/>
                <w:highlight w:val="none"/>
              </w:rPr>
              <w:t>22</w:t>
            </w:r>
          </w:p>
        </w:tc>
        <w:tc>
          <w:tcPr>
            <w:tcW w:w="1097" w:type="dxa"/>
          </w:tcPr>
          <w:p>
            <w:pPr>
              <w:pStyle w:val="12"/>
              <w:jc w:val="center"/>
              <w:rPr>
                <w:color w:val="auto"/>
                <w:highlight w:val="none"/>
              </w:rPr>
            </w:pPr>
            <w:r>
              <w:rPr>
                <w:iCs/>
                <w:color w:val="auto"/>
                <w:highlight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24</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685</w:t>
            </w:r>
          </w:p>
        </w:tc>
        <w:tc>
          <w:tcPr>
            <w:tcW w:w="1097" w:type="dxa"/>
            <w:vAlign w:val="center"/>
          </w:tcPr>
          <w:p>
            <w:pPr>
              <w:pStyle w:val="34"/>
              <w:rPr>
                <w:color w:val="A5A5A5" w:themeColor="background1" w:themeShade="A6"/>
                <w:highlight w:val="none"/>
              </w:rPr>
            </w:pPr>
            <w:r>
              <w:rPr>
                <w:color w:val="A5A5A5" w:themeColor="background1" w:themeShade="A6"/>
                <w:highlight w:val="none"/>
              </w:rPr>
              <w:t>23</w:t>
            </w:r>
          </w:p>
        </w:tc>
        <w:tc>
          <w:tcPr>
            <w:tcW w:w="1097" w:type="dxa"/>
          </w:tcPr>
          <w:p>
            <w:pPr>
              <w:pStyle w:val="12"/>
              <w:jc w:val="center"/>
              <w:rPr>
                <w:color w:val="auto"/>
                <w:highlight w:val="none"/>
              </w:rPr>
            </w:pPr>
            <w:r>
              <w:rPr>
                <w:iCs/>
                <w:color w:val="auto"/>
                <w:highlight w:val="none"/>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25</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727</w:t>
            </w:r>
          </w:p>
        </w:tc>
        <w:tc>
          <w:tcPr>
            <w:tcW w:w="1097" w:type="dxa"/>
            <w:vAlign w:val="center"/>
          </w:tcPr>
          <w:p>
            <w:pPr>
              <w:pStyle w:val="34"/>
              <w:rPr>
                <w:color w:val="A5A5A5" w:themeColor="background1" w:themeShade="A6"/>
                <w:highlight w:val="none"/>
              </w:rPr>
            </w:pPr>
            <w:r>
              <w:rPr>
                <w:color w:val="A5A5A5" w:themeColor="background1" w:themeShade="A6"/>
                <w:highlight w:val="none"/>
              </w:rPr>
              <w:t>24</w:t>
            </w:r>
          </w:p>
        </w:tc>
        <w:tc>
          <w:tcPr>
            <w:tcW w:w="1097" w:type="dxa"/>
          </w:tcPr>
          <w:p>
            <w:pPr>
              <w:pStyle w:val="12"/>
              <w:jc w:val="center"/>
              <w:rPr>
                <w:color w:val="auto"/>
                <w:highlight w:val="none"/>
              </w:rPr>
            </w:pPr>
            <w:r>
              <w:rPr>
                <w:iCs/>
                <w:color w:val="auto"/>
                <w:highlight w:val="none"/>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26</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759</w:t>
            </w:r>
          </w:p>
        </w:tc>
        <w:tc>
          <w:tcPr>
            <w:tcW w:w="1097" w:type="dxa"/>
            <w:vAlign w:val="center"/>
          </w:tcPr>
          <w:p>
            <w:pPr>
              <w:pStyle w:val="34"/>
              <w:rPr>
                <w:color w:val="A5A5A5" w:themeColor="background1" w:themeShade="A6"/>
                <w:highlight w:val="none"/>
              </w:rPr>
            </w:pPr>
            <w:r>
              <w:rPr>
                <w:color w:val="A5A5A5" w:themeColor="background1" w:themeShade="A6"/>
                <w:highlight w:val="none"/>
              </w:rPr>
              <w:t>25</w:t>
            </w:r>
          </w:p>
        </w:tc>
        <w:tc>
          <w:tcPr>
            <w:tcW w:w="1097" w:type="dxa"/>
          </w:tcPr>
          <w:p>
            <w:pPr>
              <w:pStyle w:val="12"/>
              <w:jc w:val="center"/>
              <w:rPr>
                <w:color w:val="auto"/>
                <w:highlight w:val="none"/>
              </w:rPr>
            </w:pPr>
            <w:r>
              <w:rPr>
                <w:iCs/>
                <w:color w:val="auto"/>
                <w:highlight w:val="none"/>
              </w:rP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27</w:t>
            </w:r>
          </w:p>
        </w:tc>
        <w:tc>
          <w:tcPr>
            <w:tcW w:w="1716" w:type="dxa"/>
            <w:tcBorders>
              <w:left w:val="double" w:color="auto" w:sz="4" w:space="0"/>
            </w:tcBorders>
          </w:tcPr>
          <w:p>
            <w:pPr>
              <w:pStyle w:val="34"/>
              <w:rPr>
                <w:color w:val="auto"/>
                <w:highlight w:val="none"/>
              </w:rPr>
            </w:pPr>
            <w:r>
              <w:rPr>
                <w:rFonts w:hint="eastAsia" w:eastAsiaTheme="minorEastAsia"/>
                <w:color w:val="auto"/>
                <w:highlight w:val="none"/>
                <w:lang w:eastAsia="zh-CN"/>
              </w:rPr>
              <w:t>6</w:t>
            </w:r>
          </w:p>
        </w:tc>
        <w:tc>
          <w:tcPr>
            <w:tcW w:w="1716" w:type="dxa"/>
          </w:tcPr>
          <w:p>
            <w:pPr>
              <w:pStyle w:val="34"/>
              <w:rPr>
                <w:color w:val="auto"/>
                <w:highlight w:val="none"/>
              </w:rPr>
            </w:pPr>
            <w:r>
              <w:rPr>
                <w:rFonts w:hint="eastAsia"/>
                <w:color w:val="auto"/>
                <w:highlight w:val="none"/>
              </w:rPr>
              <w:t>790</w:t>
            </w:r>
          </w:p>
        </w:tc>
        <w:tc>
          <w:tcPr>
            <w:tcW w:w="1097" w:type="dxa"/>
            <w:vAlign w:val="center"/>
          </w:tcPr>
          <w:p>
            <w:pPr>
              <w:pStyle w:val="34"/>
              <w:rPr>
                <w:color w:val="A5A5A5" w:themeColor="background1" w:themeShade="A6"/>
                <w:highlight w:val="none"/>
              </w:rPr>
            </w:pPr>
            <w:r>
              <w:rPr>
                <w:color w:val="A5A5A5" w:themeColor="background1" w:themeShade="A6"/>
                <w:highlight w:val="none"/>
              </w:rPr>
              <w:t>26</w:t>
            </w:r>
          </w:p>
        </w:tc>
        <w:tc>
          <w:tcPr>
            <w:tcW w:w="1097" w:type="dxa"/>
          </w:tcPr>
          <w:p>
            <w:pPr>
              <w:pStyle w:val="12"/>
              <w:jc w:val="center"/>
              <w:rPr>
                <w:color w:val="auto"/>
                <w:highlight w:val="none"/>
              </w:rPr>
            </w:pPr>
            <w:r>
              <w:rPr>
                <w:iCs/>
                <w:color w:val="auto"/>
                <w:highlight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28</w:t>
            </w:r>
          </w:p>
        </w:tc>
        <w:tc>
          <w:tcPr>
            <w:tcW w:w="1716" w:type="dxa"/>
            <w:tcBorders>
              <w:left w:val="double" w:color="auto" w:sz="4" w:space="0"/>
            </w:tcBorders>
          </w:tcPr>
          <w:p>
            <w:pPr>
              <w:pStyle w:val="34"/>
              <w:rPr>
                <w:rFonts w:eastAsia="宋体"/>
                <w:color w:val="auto"/>
                <w:highlight w:val="none"/>
                <w:lang w:eastAsia="zh-CN"/>
              </w:rPr>
            </w:pPr>
            <w:r>
              <w:rPr>
                <w:rFonts w:hint="eastAsia" w:eastAsia="宋体"/>
                <w:color w:val="auto"/>
                <w:highlight w:val="none"/>
                <w:lang w:val="en-US" w:eastAsia="zh-CN"/>
              </w:rPr>
              <w:t>1</w:t>
            </w:r>
          </w:p>
        </w:tc>
        <w:tc>
          <w:tcPr>
            <w:tcW w:w="3910" w:type="dxa"/>
            <w:gridSpan w:val="3"/>
            <w:vMerge w:val="restart"/>
          </w:tcPr>
          <w:p>
            <w:pPr>
              <w:pStyle w:val="12"/>
              <w:jc w:val="center"/>
              <w:rPr>
                <w:color w:val="auto"/>
                <w:highlight w:val="none"/>
              </w:rPr>
            </w:pPr>
            <w:r>
              <w:rPr>
                <w:color w:val="auto"/>
                <w:highlight w:val="none"/>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29</w:t>
            </w:r>
          </w:p>
        </w:tc>
        <w:tc>
          <w:tcPr>
            <w:tcW w:w="1716" w:type="dxa"/>
            <w:tcBorders>
              <w:left w:val="double" w:color="auto" w:sz="4" w:space="0"/>
            </w:tcBorders>
          </w:tcPr>
          <w:p>
            <w:pPr>
              <w:pStyle w:val="34"/>
              <w:rPr>
                <w:color w:val="auto"/>
                <w:highlight w:val="none"/>
              </w:rPr>
            </w:pPr>
            <w:r>
              <w:rPr>
                <w:color w:val="auto"/>
                <w:highlight w:val="none"/>
              </w:rPr>
              <w:t>2</w:t>
            </w:r>
          </w:p>
        </w:tc>
        <w:tc>
          <w:tcPr>
            <w:tcW w:w="3910" w:type="dxa"/>
            <w:gridSpan w:val="3"/>
            <w:vMerge w:val="continue"/>
            <w:vAlign w:val="center"/>
          </w:tcPr>
          <w:p>
            <w:pPr>
              <w:pStyle w:val="34"/>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30</w:t>
            </w:r>
          </w:p>
        </w:tc>
        <w:tc>
          <w:tcPr>
            <w:tcW w:w="1716" w:type="dxa"/>
            <w:tcBorders>
              <w:left w:val="double" w:color="auto" w:sz="4" w:space="0"/>
            </w:tcBorders>
          </w:tcPr>
          <w:p>
            <w:pPr>
              <w:pStyle w:val="34"/>
              <w:rPr>
                <w:color w:val="auto"/>
                <w:highlight w:val="none"/>
              </w:rPr>
            </w:pPr>
            <w:r>
              <w:rPr>
                <w:rFonts w:hint="eastAsia" w:eastAsia="宋体"/>
                <w:color w:val="auto"/>
                <w:highlight w:val="none"/>
                <w:lang w:val="en-US" w:eastAsia="zh-CN"/>
              </w:rPr>
              <w:t>4</w:t>
            </w:r>
          </w:p>
        </w:tc>
        <w:tc>
          <w:tcPr>
            <w:tcW w:w="3910" w:type="dxa"/>
            <w:gridSpan w:val="3"/>
            <w:vMerge w:val="continue"/>
            <w:vAlign w:val="center"/>
          </w:tcPr>
          <w:p>
            <w:pPr>
              <w:pStyle w:val="34"/>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31</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3910" w:type="dxa"/>
            <w:gridSpan w:val="3"/>
            <w:vMerge w:val="continue"/>
            <w:vAlign w:val="center"/>
          </w:tcPr>
          <w:p>
            <w:pPr>
              <w:pStyle w:val="34"/>
              <w:rPr>
                <w:color w:val="auto"/>
                <w:highlight w:val="none"/>
              </w:rPr>
            </w:pPr>
          </w:p>
        </w:tc>
      </w:tr>
    </w:tbl>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4573270" cy="3427730"/>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noChangeArrowheads="1"/>
                    </pic:cNvPicPr>
                  </pic:nvPicPr>
                  <pic:blipFill>
                    <a:blip r:embed="rId30" cstate="print"/>
                    <a:srcRect/>
                    <a:stretch>
                      <a:fillRect/>
                    </a:stretch>
                  </pic:blipFill>
                  <pic:spPr>
                    <a:xfrm>
                      <a:off x="0" y="0"/>
                      <a:ext cx="4573270" cy="3427730"/>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8</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For the MCS table up to 256QAM, we add 1 entry of  Pi/2 BPSK to the above table 5 instead of 1 entry of QPSK with the same lowest SE. We modify the 5 entries of 27, 28, 29, 30 and 31 for retransmission indication as downlink. And the original code rate points of MCS index 7 and 19 are deleted and </w:t>
      </w:r>
      <w:r>
        <w:rPr>
          <w:rFonts w:hint="eastAsia" w:ascii="Times New Roman" w:hAnsi="Times New Roman"/>
          <w:color w:val="auto"/>
          <w:sz w:val="20"/>
          <w:szCs w:val="20"/>
          <w:highlight w:val="none"/>
          <w:lang w:val="en-US" w:eastAsia="zh-CN"/>
        </w:rPr>
        <w:t>the positions of other code points are adjusted accordingly</w:t>
      </w:r>
      <w:r>
        <w:rPr>
          <w:rFonts w:hint="eastAsia" w:ascii="Times New Roman" w:hAnsi="Times New Roman"/>
          <w:color w:val="auto"/>
          <w:sz w:val="20"/>
          <w:szCs w:val="20"/>
          <w:highlight w:val="none"/>
        </w:rPr>
        <w:t xml:space="preserve">. The modified MCS table up to 256QAM is the table </w:t>
      </w:r>
      <w:r>
        <w:rPr>
          <w:rFonts w:hint="eastAsia" w:ascii="Times New Roman" w:hAnsi="Times New Roman"/>
          <w:color w:val="auto"/>
          <w:sz w:val="20"/>
          <w:szCs w:val="20"/>
          <w:highlight w:val="none"/>
          <w:lang w:val="en-US" w:eastAsia="zh-CN"/>
        </w:rPr>
        <w:t>8</w:t>
      </w:r>
      <w:r>
        <w:rPr>
          <w:rFonts w:hint="eastAsia" w:ascii="Times New Roman" w:hAnsi="Times New Roman"/>
          <w:color w:val="auto"/>
          <w:sz w:val="20"/>
          <w:szCs w:val="20"/>
          <w:highlight w:val="none"/>
        </w:rPr>
        <w:t xml:space="preserve"> below. According to the table </w:t>
      </w:r>
      <w:r>
        <w:rPr>
          <w:rFonts w:hint="eastAsia" w:ascii="Times New Roman" w:hAnsi="Times New Roman"/>
          <w:color w:val="auto"/>
          <w:sz w:val="20"/>
          <w:szCs w:val="20"/>
          <w:highlight w:val="none"/>
          <w:lang w:val="en-US" w:eastAsia="zh-CN"/>
        </w:rPr>
        <w:t>8</w:t>
      </w:r>
      <w:r>
        <w:rPr>
          <w:rFonts w:hint="eastAsia" w:ascii="Times New Roman" w:hAnsi="Times New Roman"/>
          <w:color w:val="auto"/>
          <w:sz w:val="20"/>
          <w:szCs w:val="20"/>
          <w:highlight w:val="none"/>
        </w:rPr>
        <w:t xml:space="preserve">, figure </w:t>
      </w:r>
      <w:r>
        <w:rPr>
          <w:rFonts w:hint="eastAsia" w:ascii="Times New Roman" w:hAnsi="Times New Roman"/>
          <w:color w:val="auto"/>
          <w:sz w:val="20"/>
          <w:szCs w:val="20"/>
          <w:highlight w:val="none"/>
          <w:lang w:val="en-US" w:eastAsia="zh-CN"/>
        </w:rPr>
        <w:t>9</w:t>
      </w:r>
      <w:r>
        <w:rPr>
          <w:rFonts w:hint="eastAsia" w:ascii="Times New Roman" w:hAnsi="Times New Roman"/>
          <w:color w:val="auto"/>
          <w:sz w:val="20"/>
          <w:szCs w:val="20"/>
          <w:highlight w:val="none"/>
        </w:rPr>
        <w:t xml:space="preserve"> gives the simulation results of the SNR/efficiency using LDPC code. We can find that the SNR/efficiency points are almost uniformly distributed. We suggest the all entries of table 7 to be used for the MCS table up to 256QAM for NR PUSCH in case of DFT-s-OFDM.</w:t>
      </w:r>
    </w:p>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10</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 xml:space="preserve">MCS table up to 256QAM for NR PUSCH with DFT-s-OFDM is obtained from the NR PUSCH MCS table up to 256QAM with CP-OFDM as follows </w:t>
      </w:r>
    </w:p>
    <w:p>
      <w:pPr>
        <w:numPr>
          <w:ilvl w:val="0"/>
          <w:numId w:val="14"/>
        </w:numPr>
        <w:adjustRightInd w:val="0"/>
        <w:snapToGrid w:val="0"/>
        <w:spacing w:after="0" w:line="240" w:lineRule="auto"/>
        <w:ind w:left="839"/>
        <w:jc w:val="both"/>
        <w:rPr>
          <w:rFonts w:ascii="Times New Roman" w:hAnsi="宋体"/>
          <w:color w:val="auto"/>
          <w:sz w:val="20"/>
          <w:szCs w:val="20"/>
          <w:highlight w:val="none"/>
        </w:rPr>
      </w:pPr>
      <w:r>
        <w:rPr>
          <w:rFonts w:hint="eastAsia" w:ascii="Times New Roman" w:hAnsi="Times New Roman"/>
          <w:i/>
          <w:iCs/>
          <w:color w:val="auto"/>
          <w:sz w:val="20"/>
          <w:szCs w:val="20"/>
          <w:highlight w:val="none"/>
        </w:rPr>
        <w:t>Use</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1 entry of  Pi/2 BPSK  to replace the entry of QPSK in CP-OFDM table with the same lowest SE</w:t>
      </w:r>
    </w:p>
    <w:p>
      <w:pPr>
        <w:numPr>
          <w:ilvl w:val="0"/>
          <w:numId w:val="14"/>
        </w:numPr>
        <w:adjustRightInd w:val="0"/>
        <w:snapToGrid w:val="0"/>
        <w:spacing w:after="0" w:line="240" w:lineRule="auto"/>
        <w:ind w:left="839"/>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MCS indices 27 - 31 are reserved for indication of modulation order 1, 2, 4, 6 and 8.</w:t>
      </w:r>
      <w:r>
        <w:rPr>
          <w:rFonts w:hint="eastAsia" w:ascii="Times New Roman" w:hAnsi="宋体"/>
          <w:i/>
          <w:iCs/>
          <w:color w:val="auto"/>
          <w:sz w:val="20"/>
          <w:szCs w:val="20"/>
          <w:highlight w:val="none"/>
        </w:rPr>
        <w:t xml:space="preserve"> </w:t>
      </w:r>
    </w:p>
    <w:p>
      <w:pPr>
        <w:numPr>
          <w:ilvl w:val="0"/>
          <w:numId w:val="14"/>
        </w:numPr>
        <w:adjustRightInd w:val="0"/>
        <w:snapToGrid w:val="0"/>
        <w:spacing w:after="120" w:line="240" w:lineRule="auto"/>
        <w:ind w:left="839"/>
        <w:jc w:val="both"/>
        <w:rPr>
          <w:rFonts w:ascii="Times New Roman" w:hAnsi="Times New Roman"/>
          <w:i/>
          <w:iCs/>
          <w:color w:val="auto"/>
          <w:sz w:val="20"/>
          <w:szCs w:val="20"/>
          <w:highlight w:val="none"/>
        </w:rPr>
      </w:pPr>
      <w:r>
        <w:rPr>
          <w:rFonts w:hint="eastAsia" w:ascii="Times New Roman" w:hAnsi="宋体"/>
          <w:i/>
          <w:iCs/>
          <w:color w:val="auto"/>
          <w:sz w:val="20"/>
          <w:szCs w:val="20"/>
          <w:highlight w:val="none"/>
        </w:rPr>
        <w:t xml:space="preserve">The other code rate points are reused for </w:t>
      </w:r>
      <w:r>
        <w:rPr>
          <w:rFonts w:hint="eastAsia" w:ascii="Times New Roman" w:hAnsi="Times New Roman"/>
          <w:i/>
          <w:iCs/>
          <w:color w:val="auto"/>
          <w:sz w:val="20"/>
          <w:szCs w:val="20"/>
          <w:highlight w:val="none"/>
        </w:rPr>
        <w:t>MCS table up to 256QAM for NR PUSCH with DFT-s-OFDM.</w:t>
      </w:r>
    </w:p>
    <w:p>
      <w:pPr>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Table </w:t>
      </w:r>
      <w:r>
        <w:rPr>
          <w:rFonts w:hint="eastAsia" w:ascii="Times New Roman" w:hAnsi="Times New Roman"/>
          <w:color w:val="auto"/>
          <w:sz w:val="20"/>
          <w:szCs w:val="20"/>
          <w:highlight w:val="none"/>
          <w:lang w:val="en-US" w:eastAsia="zh-CN"/>
        </w:rPr>
        <w:t>8</w:t>
      </w:r>
      <w:r>
        <w:rPr>
          <w:rFonts w:hint="eastAsia" w:ascii="Times New Roman" w:hAnsi="Times New Roman"/>
          <w:color w:val="auto"/>
          <w:sz w:val="20"/>
          <w:szCs w:val="20"/>
          <w:highlight w:val="none"/>
        </w:rPr>
        <w:t xml:space="preserve"> MCS Table for up to 256QAM for NR PUSCH in case of  DFT-s-OFDM</w:t>
      </w:r>
    </w:p>
    <w:tbl>
      <w:tblPr>
        <w:tblStyle w:val="21"/>
        <w:tblW w:w="57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508"/>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1137" w:type="dxa"/>
            <w:vMerge w:val="restart"/>
            <w:tcBorders>
              <w:right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MCS Index</w:t>
            </w:r>
            <w:r>
              <w:rPr>
                <w:rFonts w:ascii="Arial" w:hAnsi="Arial"/>
                <w:b/>
                <w:bCs/>
                <w:color w:val="auto"/>
                <w:sz w:val="18"/>
                <w:highlight w:val="none"/>
                <w:lang w:eastAsia="en-US"/>
              </w:rPr>
              <w:br w:type="textWrapping"/>
            </w:r>
            <w:r>
              <w:rPr>
                <w:rFonts w:ascii="Arial" w:hAnsi="Arial"/>
                <w:b/>
                <w:color w:val="auto"/>
                <w:position w:val="-10"/>
                <w:sz w:val="18"/>
                <w:highlight w:val="none"/>
                <w:lang w:eastAsia="en-US"/>
              </w:rPr>
              <w:object>
                <v:shape id="_x0000_i1040" o:spt="75" type="#_x0000_t75" style="height:16.1pt;width:21.5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31">
                  <o:LockedField>false</o:LockedField>
                </o:OLEObject>
              </w:object>
            </w:r>
          </w:p>
        </w:tc>
        <w:tc>
          <w:tcPr>
            <w:tcW w:w="1716" w:type="dxa"/>
            <w:vMerge w:val="restart"/>
            <w:tcBorders>
              <w:left w:val="double" w:color="auto" w:sz="4" w:space="0"/>
            </w:tcBorders>
            <w:shd w:val="clear" w:color="auto" w:fill="E0E0E0"/>
            <w:vAlign w:val="center"/>
          </w:tcPr>
          <w:p>
            <w:pPr>
              <w:keepNext/>
              <w:keepLines/>
              <w:jc w:val="center"/>
              <w:rPr>
                <w:rFonts w:ascii="Arial" w:hAnsi="Arial"/>
                <w:b/>
                <w:bCs/>
                <w:color w:val="auto"/>
                <w:sz w:val="18"/>
                <w:highlight w:val="none"/>
                <w:lang w:eastAsia="en-US"/>
              </w:rPr>
            </w:pPr>
            <w:r>
              <w:rPr>
                <w:rFonts w:ascii="Arial" w:hAnsi="Arial"/>
                <w:b/>
                <w:bCs/>
                <w:color w:val="auto"/>
                <w:sz w:val="18"/>
                <w:highlight w:val="none"/>
                <w:lang w:eastAsia="en-US"/>
              </w:rPr>
              <w:t>Modulation Order</w:t>
            </w:r>
            <w:r>
              <w:rPr>
                <w:rFonts w:ascii="Arial" w:hAnsi="Arial"/>
                <w:b/>
                <w:bCs/>
                <w:color w:val="auto"/>
                <w:sz w:val="18"/>
                <w:highlight w:val="none"/>
                <w:lang w:eastAsia="en-US"/>
              </w:rPr>
              <w:br w:type="textWrapping"/>
            </w:r>
            <w:r>
              <w:rPr>
                <w:rFonts w:ascii="Arial" w:hAnsi="Arial"/>
                <w:b/>
                <w:bCs/>
                <w:color w:val="auto"/>
                <w:position w:val="-10"/>
                <w:sz w:val="18"/>
                <w:highlight w:val="none"/>
                <w:lang w:val="pt-BR" w:eastAsia="en-US"/>
              </w:rPr>
              <w:object>
                <v:shape id="_x0000_i1041" o:spt="75" type="#_x0000_t75" style="height:15.05pt;width:15.6pt;" o:ole="t"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2">
                  <o:LockedField>false</o:LockedField>
                </o:OLEObject>
              </w:object>
            </w:r>
          </w:p>
        </w:tc>
        <w:tc>
          <w:tcPr>
            <w:tcW w:w="1508" w:type="dxa"/>
            <w:vMerge w:val="restart"/>
            <w:shd w:val="clear" w:color="auto" w:fill="E0E0E0"/>
            <w:vAlign w:val="center"/>
          </w:tcPr>
          <w:p>
            <w:pPr>
              <w:keepNext/>
              <w:keepLines/>
              <w:jc w:val="center"/>
              <w:rPr>
                <w:rFonts w:ascii="Arial" w:hAnsi="Arial"/>
                <w:b/>
                <w:bCs/>
                <w:color w:val="auto"/>
                <w:sz w:val="18"/>
                <w:highlight w:val="none"/>
                <w:lang w:eastAsia="en-US"/>
              </w:rPr>
            </w:pPr>
            <w:r>
              <w:rPr>
                <w:rFonts w:ascii="Arial" w:hAnsi="Arial"/>
                <w:b/>
                <w:color w:val="auto"/>
                <w:sz w:val="18"/>
                <w:highlight w:val="none"/>
              </w:rPr>
              <w:t>code rate x 1024</w:t>
            </w:r>
          </w:p>
        </w:tc>
        <w:tc>
          <w:tcPr>
            <w:tcW w:w="1365" w:type="dxa"/>
            <w:vMerge w:val="restart"/>
            <w:shd w:val="clear" w:color="auto" w:fill="E0E0E0"/>
            <w:vAlign w:val="center"/>
          </w:tcPr>
          <w:p>
            <w:pPr>
              <w:keepNext/>
              <w:keepLines/>
              <w:jc w:val="center"/>
              <w:rPr>
                <w:rFonts w:ascii="Arial" w:hAnsi="Arial"/>
                <w:b/>
                <w:bCs/>
                <w:color w:val="A5A5A5" w:themeColor="background1" w:themeShade="A6"/>
                <w:sz w:val="18"/>
                <w:highlight w:val="none"/>
                <w:lang w:eastAsia="en-US"/>
              </w:rPr>
            </w:pPr>
            <w:r>
              <w:rPr>
                <w:rFonts w:ascii="Arial" w:hAnsi="Arial"/>
                <w:b/>
                <w:bCs/>
                <w:color w:val="A5A5A5" w:themeColor="background1" w:themeShade="A6"/>
                <w:sz w:val="18"/>
                <w:highlight w:val="none"/>
                <w:lang w:eastAsia="en-US"/>
              </w:rPr>
              <w:t>TBS Index</w:t>
            </w:r>
            <w:r>
              <w:rPr>
                <w:rFonts w:ascii="Arial" w:hAnsi="Arial"/>
                <w:b/>
                <w:bCs/>
                <w:color w:val="A5A5A5" w:themeColor="background1" w:themeShade="A6"/>
                <w:sz w:val="18"/>
                <w:highlight w:val="none"/>
                <w:lang w:eastAsia="en-US"/>
              </w:rPr>
              <w:br w:type="textWrapping"/>
            </w:r>
            <w:r>
              <w:rPr>
                <w:rFonts w:ascii="Arial" w:hAnsi="Arial"/>
                <w:b/>
                <w:color w:val="A5A5A5" w:themeColor="background1" w:themeShade="A6"/>
                <w:position w:val="-10"/>
                <w:sz w:val="18"/>
                <w:highlight w:val="none"/>
                <w:lang w:eastAsia="en-US"/>
              </w:rPr>
              <w:object>
                <v:shape id="_x0000_i1042" o:spt="75" type="#_x0000_t75" style="height:16.1pt;width:20.4pt;" o:ole="t" filled="f" o:preferrelative="t" stroked="f" coordsize="21600,21600">
                  <v:path/>
                  <v:fill on="f" focussize="0,0"/>
                  <v:stroke on="f" joinstyle="miter"/>
                  <v:imagedata r:id="rId13" o:title=""/>
                  <o:lock v:ext="edit" aspectratio="t"/>
                  <w10:wrap type="none"/>
                  <w10:anchorlock/>
                </v:shape>
                <o:OLEObject Type="Embed" ProgID="Equation.3" ShapeID="_x0000_i1042" DrawAspect="Content" ObjectID="_1468075742" r:id="rId3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1137" w:type="dxa"/>
            <w:vMerge w:val="continue"/>
            <w:tcBorders>
              <w:bottom w:val="double" w:color="auto" w:sz="4" w:space="0"/>
              <w:right w:val="double" w:color="auto" w:sz="4" w:space="0"/>
            </w:tcBorders>
            <w:shd w:val="clear" w:color="auto" w:fill="E0E0E0"/>
            <w:vAlign w:val="center"/>
          </w:tcPr>
          <w:p>
            <w:pPr>
              <w:keepNext/>
              <w:keepLines/>
              <w:jc w:val="center"/>
              <w:rPr>
                <w:rFonts w:ascii="Arial" w:hAnsi="Arial"/>
                <w:b/>
                <w:bCs/>
                <w:color w:val="auto"/>
                <w:sz w:val="18"/>
                <w:highlight w:val="none"/>
                <w:lang w:eastAsia="en-US"/>
              </w:rPr>
            </w:pPr>
          </w:p>
        </w:tc>
        <w:tc>
          <w:tcPr>
            <w:tcW w:w="1716" w:type="dxa"/>
            <w:vMerge w:val="continue"/>
            <w:tcBorders>
              <w:left w:val="double" w:color="auto" w:sz="4" w:space="0"/>
              <w:bottom w:val="double" w:color="auto" w:sz="4" w:space="0"/>
            </w:tcBorders>
            <w:shd w:val="clear" w:color="auto" w:fill="E0E0E0"/>
            <w:vAlign w:val="center"/>
          </w:tcPr>
          <w:p>
            <w:pPr>
              <w:keepNext/>
              <w:keepLines/>
              <w:jc w:val="center"/>
              <w:rPr>
                <w:rFonts w:ascii="Arial" w:hAnsi="Arial"/>
                <w:b/>
                <w:bCs/>
                <w:color w:val="auto"/>
                <w:sz w:val="18"/>
                <w:highlight w:val="none"/>
                <w:lang w:eastAsia="en-US"/>
              </w:rPr>
            </w:pPr>
          </w:p>
        </w:tc>
        <w:tc>
          <w:tcPr>
            <w:tcW w:w="1508" w:type="dxa"/>
            <w:vMerge w:val="continue"/>
            <w:tcBorders>
              <w:bottom w:val="double" w:color="auto" w:sz="4" w:space="0"/>
            </w:tcBorders>
            <w:shd w:val="clear" w:color="auto" w:fill="E0E0E0"/>
            <w:vAlign w:val="center"/>
          </w:tcPr>
          <w:p>
            <w:pPr>
              <w:keepNext/>
              <w:keepLines/>
              <w:jc w:val="center"/>
              <w:rPr>
                <w:rFonts w:ascii="Arial" w:hAnsi="Arial"/>
                <w:b/>
                <w:color w:val="auto"/>
                <w:sz w:val="18"/>
                <w:highlight w:val="none"/>
              </w:rPr>
            </w:pPr>
          </w:p>
        </w:tc>
        <w:tc>
          <w:tcPr>
            <w:tcW w:w="1365" w:type="dxa"/>
            <w:vMerge w:val="continue"/>
            <w:tcBorders>
              <w:bottom w:val="double" w:color="auto" w:sz="4" w:space="0"/>
            </w:tcBorders>
            <w:shd w:val="clear" w:color="auto" w:fill="E0E0E0"/>
            <w:vAlign w:val="center"/>
          </w:tcPr>
          <w:p>
            <w:pPr>
              <w:keepNext/>
              <w:keepLines/>
              <w:jc w:val="center"/>
              <w:rPr>
                <w:rFonts w:ascii="Arial" w:hAnsi="Arial"/>
                <w:b/>
                <w:bCs/>
                <w:color w:val="A5A5A5" w:themeColor="background1" w:themeShade="A6"/>
                <w:sz w:val="18"/>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0</w:t>
            </w:r>
          </w:p>
        </w:tc>
        <w:tc>
          <w:tcPr>
            <w:tcW w:w="1716" w:type="dxa"/>
            <w:tcBorders>
              <w:top w:val="double" w:color="auto" w:sz="4" w:space="0"/>
              <w:left w:val="double" w:color="auto" w:sz="4" w:space="0"/>
            </w:tcBorders>
            <w:vAlign w:val="center"/>
          </w:tcPr>
          <w:p>
            <w:pPr>
              <w:pStyle w:val="34"/>
              <w:rPr>
                <w:bCs/>
                <w:color w:val="auto"/>
                <w:highlight w:val="none"/>
              </w:rPr>
            </w:pPr>
            <w:r>
              <w:rPr>
                <w:rFonts w:hint="eastAsia"/>
                <w:bCs/>
                <w:color w:val="auto"/>
                <w:highlight w:val="none"/>
              </w:rPr>
              <w:t>1</w:t>
            </w:r>
          </w:p>
        </w:tc>
        <w:tc>
          <w:tcPr>
            <w:tcW w:w="1508" w:type="dxa"/>
            <w:tcBorders>
              <w:top w:val="double" w:color="auto" w:sz="4" w:space="0"/>
            </w:tcBorders>
          </w:tcPr>
          <w:p>
            <w:pPr>
              <w:pStyle w:val="34"/>
              <w:rPr>
                <w:rFonts w:eastAsiaTheme="minorEastAsia"/>
                <w:bCs/>
                <w:color w:val="auto"/>
                <w:highlight w:val="none"/>
                <w:lang w:eastAsia="zh-CN"/>
              </w:rPr>
            </w:pPr>
            <w:r>
              <w:rPr>
                <w:rFonts w:hint="eastAsia" w:eastAsiaTheme="minorEastAsia"/>
                <w:bCs/>
                <w:color w:val="auto"/>
                <w:highlight w:val="none"/>
                <w:lang w:eastAsia="zh-CN"/>
              </w:rPr>
              <w:t>200</w:t>
            </w:r>
          </w:p>
        </w:tc>
        <w:tc>
          <w:tcPr>
            <w:tcW w:w="1365" w:type="dxa"/>
            <w:tcBorders>
              <w:top w:val="double" w:color="auto" w:sz="4" w:space="0"/>
            </w:tcBorders>
            <w:vAlign w:val="center"/>
          </w:tcPr>
          <w:p>
            <w:pPr>
              <w:pStyle w:val="34"/>
              <w:rPr>
                <w:bCs/>
                <w:color w:val="A5A5A5" w:themeColor="background1" w:themeShade="A6"/>
                <w:highlight w:val="none"/>
                <w:lang w:val="en-US" w:eastAsia="zh-CN"/>
              </w:rPr>
            </w:pPr>
            <w:r>
              <w:rPr>
                <w:bCs/>
                <w:color w:val="A5A5A5" w:themeColor="background1" w:themeShade="A6"/>
                <w:highlight w:val="none"/>
                <w:lang w:eastAsia="en-US"/>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w:t>
            </w:r>
          </w:p>
        </w:tc>
        <w:tc>
          <w:tcPr>
            <w:tcW w:w="1716" w:type="dxa"/>
            <w:tcBorders>
              <w:left w:val="double" w:color="auto" w:sz="4" w:space="0"/>
            </w:tcBorders>
          </w:tcPr>
          <w:p>
            <w:pPr>
              <w:pStyle w:val="34"/>
              <w:rPr>
                <w:bCs/>
                <w:color w:val="auto"/>
                <w:highlight w:val="none"/>
              </w:rPr>
            </w:pPr>
            <w:r>
              <w:rPr>
                <w:rFonts w:hint="eastAsia" w:eastAsiaTheme="minorEastAsia"/>
                <w:bCs/>
                <w:color w:val="auto"/>
                <w:highlight w:val="none"/>
                <w:lang w:eastAsia="zh-CN"/>
              </w:rPr>
              <w:t>2</w:t>
            </w:r>
          </w:p>
        </w:tc>
        <w:tc>
          <w:tcPr>
            <w:tcW w:w="1508" w:type="dxa"/>
          </w:tcPr>
          <w:p>
            <w:pPr>
              <w:pStyle w:val="34"/>
              <w:rPr>
                <w:bCs/>
                <w:color w:val="auto"/>
                <w:highlight w:val="none"/>
              </w:rPr>
            </w:pPr>
            <w:r>
              <w:rPr>
                <w:rFonts w:hint="eastAsia"/>
                <w:bCs/>
                <w:color w:val="auto"/>
                <w:highlight w:val="none"/>
              </w:rPr>
              <w:t>161</w:t>
            </w:r>
          </w:p>
        </w:tc>
        <w:tc>
          <w:tcPr>
            <w:tcW w:w="1365" w:type="dxa"/>
            <w:vAlign w:val="center"/>
          </w:tcPr>
          <w:p>
            <w:pPr>
              <w:pStyle w:val="34"/>
              <w:rPr>
                <w:bCs/>
                <w:color w:val="A5A5A5" w:themeColor="background1" w:themeShade="A6"/>
                <w:highlight w:val="none"/>
                <w:lang w:val="en-US" w:eastAsia="zh-CN"/>
              </w:rPr>
            </w:pPr>
            <w:r>
              <w:rPr>
                <w:bCs/>
                <w:color w:val="A5A5A5" w:themeColor="background1" w:themeShade="A6"/>
                <w:highlight w:val="none"/>
                <w:lang w:eastAsia="en-US"/>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2</w:t>
            </w:r>
          </w:p>
        </w:tc>
        <w:tc>
          <w:tcPr>
            <w:tcW w:w="1508" w:type="dxa"/>
          </w:tcPr>
          <w:p>
            <w:pPr>
              <w:pStyle w:val="34"/>
              <w:rPr>
                <w:bCs/>
                <w:color w:val="auto"/>
                <w:highlight w:val="none"/>
              </w:rPr>
            </w:pPr>
            <w:r>
              <w:rPr>
                <w:rFonts w:hint="eastAsia"/>
                <w:bCs/>
                <w:color w:val="auto"/>
                <w:highlight w:val="none"/>
              </w:rPr>
              <w:t>268</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2</w:t>
            </w:r>
          </w:p>
        </w:tc>
        <w:tc>
          <w:tcPr>
            <w:tcW w:w="1508" w:type="dxa"/>
          </w:tcPr>
          <w:p>
            <w:pPr>
              <w:pStyle w:val="34"/>
              <w:rPr>
                <w:bCs/>
                <w:color w:val="auto"/>
                <w:highlight w:val="none"/>
              </w:rPr>
            </w:pPr>
            <w:r>
              <w:rPr>
                <w:rFonts w:hint="eastAsia"/>
                <w:bCs/>
                <w:color w:val="auto"/>
                <w:highlight w:val="none"/>
              </w:rPr>
              <w:t>374</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4</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2</w:t>
            </w:r>
          </w:p>
        </w:tc>
        <w:tc>
          <w:tcPr>
            <w:tcW w:w="1508" w:type="dxa"/>
          </w:tcPr>
          <w:p>
            <w:pPr>
              <w:pStyle w:val="34"/>
              <w:rPr>
                <w:bCs/>
                <w:color w:val="auto"/>
                <w:highlight w:val="none"/>
              </w:rPr>
            </w:pPr>
            <w:r>
              <w:rPr>
                <w:rFonts w:hint="eastAsia"/>
                <w:bCs/>
                <w:color w:val="auto"/>
                <w:highlight w:val="none"/>
              </w:rPr>
              <w:t>502</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5</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2</w:t>
            </w:r>
          </w:p>
        </w:tc>
        <w:tc>
          <w:tcPr>
            <w:tcW w:w="1508" w:type="dxa"/>
          </w:tcPr>
          <w:p>
            <w:pPr>
              <w:pStyle w:val="34"/>
              <w:rPr>
                <w:bCs/>
                <w:color w:val="auto"/>
                <w:highlight w:val="none"/>
              </w:rPr>
            </w:pPr>
            <w:r>
              <w:rPr>
                <w:rFonts w:hint="eastAsia"/>
                <w:bCs/>
                <w:color w:val="auto"/>
                <w:highlight w:val="none"/>
              </w:rPr>
              <w:t>630</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6</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rPr>
            </w:pPr>
            <w:r>
              <w:rPr>
                <w:rFonts w:hint="eastAsia"/>
                <w:bCs/>
                <w:color w:val="auto"/>
                <w:highlight w:val="none"/>
              </w:rPr>
              <w:t>362</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7</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461</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8</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513</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9</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583</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10</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646</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11</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709</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12</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4</w:t>
            </w:r>
          </w:p>
        </w:tc>
        <w:tc>
          <w:tcPr>
            <w:tcW w:w="1508" w:type="dxa"/>
          </w:tcPr>
          <w:p>
            <w:pPr>
              <w:pStyle w:val="34"/>
              <w:rPr>
                <w:bCs/>
                <w:color w:val="auto"/>
                <w:highlight w:val="none"/>
                <w:lang w:eastAsia="en-US"/>
              </w:rPr>
            </w:pPr>
            <w:r>
              <w:rPr>
                <w:rFonts w:hint="eastAsia"/>
                <w:bCs/>
                <w:color w:val="auto"/>
                <w:highlight w:val="none"/>
                <w:lang w:eastAsia="en-US"/>
              </w:rPr>
              <w:t>771</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13</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555</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14</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599</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15</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643</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16</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685</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17</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727</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18</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790</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19</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838</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20</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6</w:t>
            </w:r>
          </w:p>
        </w:tc>
        <w:tc>
          <w:tcPr>
            <w:tcW w:w="1508" w:type="dxa"/>
          </w:tcPr>
          <w:p>
            <w:pPr>
              <w:pStyle w:val="34"/>
              <w:rPr>
                <w:bCs/>
                <w:color w:val="auto"/>
                <w:highlight w:val="none"/>
                <w:lang w:eastAsia="en-US"/>
              </w:rPr>
            </w:pPr>
            <w:r>
              <w:rPr>
                <w:rFonts w:hint="eastAsia"/>
                <w:bCs/>
                <w:color w:val="auto"/>
                <w:highlight w:val="none"/>
                <w:lang w:eastAsia="en-US"/>
              </w:rPr>
              <w:t>886</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21</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bCs/>
                <w:color w:val="auto"/>
                <w:highlight w:val="none"/>
                <w:lang w:eastAsia="en-US"/>
              </w:rPr>
              <w:t>701</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22</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bCs/>
                <w:color w:val="auto"/>
                <w:highlight w:val="none"/>
                <w:lang w:eastAsia="en-US"/>
              </w:rPr>
              <w:t>738</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23</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bCs/>
                <w:color w:val="auto"/>
                <w:highlight w:val="none"/>
                <w:lang w:eastAsia="en-US"/>
              </w:rPr>
              <w:t>764</w:t>
            </w:r>
          </w:p>
        </w:tc>
        <w:tc>
          <w:tcPr>
            <w:tcW w:w="1365" w:type="dxa"/>
            <w:vAlign w:val="center"/>
          </w:tcPr>
          <w:p>
            <w:pPr>
              <w:pStyle w:val="34"/>
              <w:rPr>
                <w:bCs/>
                <w:color w:val="A5A5A5" w:themeColor="background1" w:themeShade="A6"/>
                <w:highlight w:val="none"/>
                <w:lang w:eastAsia="en-US"/>
              </w:rPr>
            </w:pPr>
            <w:r>
              <w:rPr>
                <w:bCs/>
                <w:color w:val="A5A5A5" w:themeColor="background1" w:themeShade="A6"/>
                <w:highlight w:val="none"/>
                <w:lang w:eastAsia="en-US"/>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24</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bCs/>
                <w:color w:val="auto"/>
                <w:highlight w:val="none"/>
                <w:lang w:eastAsia="en-US"/>
              </w:rPr>
              <w:t>821</w:t>
            </w:r>
          </w:p>
        </w:tc>
        <w:tc>
          <w:tcPr>
            <w:tcW w:w="1365" w:type="dxa"/>
            <w:vAlign w:val="center"/>
          </w:tcPr>
          <w:p>
            <w:pPr>
              <w:pStyle w:val="34"/>
              <w:rPr>
                <w:bCs/>
                <w:color w:val="A5A5A5" w:themeColor="background1" w:themeShade="A6"/>
                <w:highlight w:val="none"/>
                <w:lang w:eastAsia="en-US"/>
              </w:rPr>
            </w:pPr>
            <w:r>
              <w:rPr>
                <w:rFonts w:hint="eastAsia"/>
                <w:bCs/>
                <w:color w:val="A5A5A5" w:themeColor="background1" w:themeShade="A6"/>
                <w:highlight w:val="none"/>
                <w:lang w:eastAsia="en-US"/>
              </w:rPr>
              <w:t>32A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25</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bCs/>
                <w:color w:val="auto"/>
                <w:highlight w:val="none"/>
                <w:lang w:eastAsia="en-US"/>
              </w:rPr>
              <w:t>895</w:t>
            </w:r>
          </w:p>
        </w:tc>
        <w:tc>
          <w:tcPr>
            <w:tcW w:w="1365" w:type="dxa"/>
            <w:vAlign w:val="center"/>
          </w:tcPr>
          <w:p>
            <w:pPr>
              <w:pStyle w:val="34"/>
              <w:rPr>
                <w:bCs/>
                <w:color w:val="A5A5A5" w:themeColor="background1" w:themeShade="A6"/>
                <w:highlight w:val="none"/>
                <w:lang w:eastAsia="en-US"/>
              </w:rPr>
            </w:pPr>
            <w:r>
              <w:rPr>
                <w:rFonts w:hint="eastAsia"/>
                <w:bCs/>
                <w:color w:val="A5A5A5" w:themeColor="background1" w:themeShade="A6"/>
                <w:highlight w:val="none"/>
                <w:lang w:eastAsia="en-US"/>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26</w:t>
            </w:r>
          </w:p>
        </w:tc>
        <w:tc>
          <w:tcPr>
            <w:tcW w:w="1716" w:type="dxa"/>
            <w:tcBorders>
              <w:left w:val="double" w:color="auto" w:sz="4" w:space="0"/>
            </w:tcBorders>
          </w:tcPr>
          <w:p>
            <w:pPr>
              <w:pStyle w:val="34"/>
              <w:rPr>
                <w:bCs/>
                <w:color w:val="auto"/>
                <w:highlight w:val="none"/>
                <w:lang w:eastAsia="en-US"/>
              </w:rPr>
            </w:pPr>
            <w:r>
              <w:rPr>
                <w:rFonts w:hint="eastAsia" w:eastAsiaTheme="minorEastAsia"/>
                <w:bCs/>
                <w:color w:val="auto"/>
                <w:highlight w:val="none"/>
                <w:lang w:eastAsia="zh-CN"/>
              </w:rPr>
              <w:t>8</w:t>
            </w:r>
          </w:p>
        </w:tc>
        <w:tc>
          <w:tcPr>
            <w:tcW w:w="1508" w:type="dxa"/>
          </w:tcPr>
          <w:p>
            <w:pPr>
              <w:pStyle w:val="34"/>
              <w:rPr>
                <w:bCs/>
                <w:color w:val="auto"/>
                <w:highlight w:val="none"/>
                <w:lang w:eastAsia="en-US"/>
              </w:rPr>
            </w:pPr>
            <w:r>
              <w:rPr>
                <w:rFonts w:hint="eastAsia" w:eastAsiaTheme="minorEastAsia"/>
                <w:bCs/>
                <w:color w:val="auto"/>
                <w:highlight w:val="none"/>
                <w:lang w:eastAsia="zh-CN"/>
              </w:rPr>
              <w:t>949</w:t>
            </w:r>
          </w:p>
        </w:tc>
        <w:tc>
          <w:tcPr>
            <w:tcW w:w="1365" w:type="dxa"/>
            <w:vAlign w:val="center"/>
          </w:tcPr>
          <w:p>
            <w:pPr>
              <w:pStyle w:val="34"/>
              <w:rPr>
                <w:bCs/>
                <w:color w:val="A5A5A5" w:themeColor="background1" w:themeShade="A6"/>
                <w:highlight w:val="none"/>
                <w:lang w:eastAsia="en-US"/>
              </w:rPr>
            </w:pPr>
            <w:r>
              <w:rPr>
                <w:rFonts w:hint="eastAsia" w:eastAsia="宋体"/>
                <w:bCs/>
                <w:color w:val="A5A5A5" w:themeColor="background1" w:themeShade="A6"/>
                <w:highlight w:val="none"/>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27</w:t>
            </w:r>
          </w:p>
        </w:tc>
        <w:tc>
          <w:tcPr>
            <w:tcW w:w="1716" w:type="dxa"/>
            <w:tcBorders>
              <w:left w:val="double" w:color="auto" w:sz="4" w:space="0"/>
            </w:tcBorders>
          </w:tcPr>
          <w:p>
            <w:pPr>
              <w:pStyle w:val="34"/>
              <w:rPr>
                <w:bCs/>
                <w:color w:val="auto"/>
                <w:highlight w:val="none"/>
                <w:lang w:eastAsia="en-US"/>
              </w:rPr>
            </w:pPr>
            <w:r>
              <w:rPr>
                <w:rFonts w:hint="eastAsia" w:eastAsia="宋体"/>
                <w:bCs/>
                <w:color w:val="auto"/>
                <w:highlight w:val="none"/>
                <w:lang w:val="en-US" w:eastAsia="zh-CN"/>
              </w:rPr>
              <w:t>1</w:t>
            </w:r>
          </w:p>
        </w:tc>
        <w:tc>
          <w:tcPr>
            <w:tcW w:w="2873" w:type="dxa"/>
            <w:gridSpan w:val="2"/>
            <w:vMerge w:val="restart"/>
          </w:tcPr>
          <w:p>
            <w:pPr>
              <w:pStyle w:val="34"/>
              <w:rPr>
                <w:bCs/>
                <w:color w:val="auto"/>
                <w:highlight w:val="none"/>
                <w:lang w:eastAsia="en-US"/>
              </w:rPr>
            </w:pPr>
            <w:r>
              <w:rPr>
                <w:bCs/>
                <w:color w:val="auto"/>
                <w:highlight w:val="none"/>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28</w:t>
            </w:r>
          </w:p>
        </w:tc>
        <w:tc>
          <w:tcPr>
            <w:tcW w:w="1716" w:type="dxa"/>
            <w:tcBorders>
              <w:left w:val="double" w:color="auto" w:sz="4" w:space="0"/>
            </w:tcBorders>
          </w:tcPr>
          <w:p>
            <w:pPr>
              <w:pStyle w:val="34"/>
              <w:rPr>
                <w:bCs/>
                <w:color w:val="auto"/>
                <w:highlight w:val="none"/>
                <w:lang w:eastAsia="en-US"/>
              </w:rPr>
            </w:pPr>
            <w:r>
              <w:rPr>
                <w:rFonts w:hint="eastAsia" w:eastAsia="宋体"/>
                <w:bCs/>
                <w:color w:val="auto"/>
                <w:highlight w:val="none"/>
                <w:lang w:val="en-US" w:eastAsia="zh-CN"/>
              </w:rPr>
              <w:t>2</w:t>
            </w:r>
          </w:p>
        </w:tc>
        <w:tc>
          <w:tcPr>
            <w:tcW w:w="2873" w:type="dxa"/>
            <w:gridSpan w:val="2"/>
            <w:vMerge w:val="continue"/>
          </w:tcPr>
          <w:p>
            <w:pPr>
              <w:pStyle w:val="34"/>
              <w:rPr>
                <w:bCs/>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29</w:t>
            </w:r>
          </w:p>
        </w:tc>
        <w:tc>
          <w:tcPr>
            <w:tcW w:w="1716" w:type="dxa"/>
            <w:tcBorders>
              <w:left w:val="double" w:color="auto" w:sz="4" w:space="0"/>
            </w:tcBorders>
          </w:tcPr>
          <w:p>
            <w:pPr>
              <w:pStyle w:val="34"/>
              <w:rPr>
                <w:rFonts w:eastAsia="宋体"/>
                <w:bCs/>
                <w:color w:val="auto"/>
                <w:highlight w:val="none"/>
                <w:lang w:val="en-US" w:eastAsia="zh-CN"/>
              </w:rPr>
            </w:pPr>
            <w:r>
              <w:rPr>
                <w:rFonts w:hint="eastAsia" w:eastAsia="宋体"/>
                <w:bCs/>
                <w:color w:val="auto"/>
                <w:highlight w:val="none"/>
                <w:lang w:val="en-US" w:eastAsia="zh-CN"/>
              </w:rPr>
              <w:t>4</w:t>
            </w:r>
          </w:p>
        </w:tc>
        <w:tc>
          <w:tcPr>
            <w:tcW w:w="2873" w:type="dxa"/>
            <w:gridSpan w:val="2"/>
            <w:vMerge w:val="continue"/>
          </w:tcPr>
          <w:p>
            <w:pPr>
              <w:pStyle w:val="34"/>
              <w:rPr>
                <w:bCs/>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30</w:t>
            </w:r>
          </w:p>
        </w:tc>
        <w:tc>
          <w:tcPr>
            <w:tcW w:w="1716" w:type="dxa"/>
            <w:tcBorders>
              <w:left w:val="double" w:color="auto" w:sz="4" w:space="0"/>
            </w:tcBorders>
            <w:vAlign w:val="center"/>
          </w:tcPr>
          <w:p>
            <w:pPr>
              <w:pStyle w:val="34"/>
              <w:rPr>
                <w:rFonts w:eastAsia="宋体"/>
                <w:bCs/>
                <w:color w:val="auto"/>
                <w:highlight w:val="none"/>
                <w:lang w:val="en-US" w:eastAsia="zh-CN"/>
              </w:rPr>
            </w:pPr>
            <w:r>
              <w:rPr>
                <w:rFonts w:hint="eastAsia" w:eastAsia="宋体"/>
                <w:bCs/>
                <w:color w:val="auto"/>
                <w:highlight w:val="none"/>
                <w:lang w:val="en-US" w:eastAsia="zh-CN"/>
              </w:rPr>
              <w:t>6</w:t>
            </w:r>
          </w:p>
        </w:tc>
        <w:tc>
          <w:tcPr>
            <w:tcW w:w="2873" w:type="dxa"/>
            <w:gridSpan w:val="2"/>
            <w:vMerge w:val="continue"/>
            <w:vAlign w:val="center"/>
          </w:tcPr>
          <w:p>
            <w:pPr>
              <w:keepLines/>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shd w:val="clear" w:color="auto" w:fill="auto"/>
            <w:vAlign w:val="center"/>
          </w:tcPr>
          <w:p>
            <w:pPr>
              <w:pStyle w:val="34"/>
              <w:rPr>
                <w:b/>
                <w:color w:val="auto"/>
                <w:highlight w:val="none"/>
                <w:lang w:eastAsia="en-US"/>
              </w:rPr>
            </w:pPr>
            <w:r>
              <w:rPr>
                <w:b/>
                <w:color w:val="auto"/>
                <w:highlight w:val="none"/>
                <w:lang w:eastAsia="en-US"/>
              </w:rPr>
              <w:t>31</w:t>
            </w:r>
          </w:p>
        </w:tc>
        <w:tc>
          <w:tcPr>
            <w:tcW w:w="1716" w:type="dxa"/>
            <w:tcBorders>
              <w:left w:val="double" w:color="auto" w:sz="4" w:space="0"/>
            </w:tcBorders>
            <w:vAlign w:val="center"/>
          </w:tcPr>
          <w:p>
            <w:pPr>
              <w:pStyle w:val="34"/>
              <w:rPr>
                <w:rFonts w:eastAsia="宋体"/>
                <w:bCs/>
                <w:color w:val="auto"/>
                <w:highlight w:val="none"/>
                <w:lang w:val="en-US" w:eastAsia="zh-CN"/>
              </w:rPr>
            </w:pPr>
            <w:r>
              <w:rPr>
                <w:rFonts w:hint="eastAsia" w:eastAsia="宋体"/>
                <w:bCs/>
                <w:color w:val="auto"/>
                <w:highlight w:val="none"/>
                <w:lang w:val="en-US" w:eastAsia="zh-CN"/>
              </w:rPr>
              <w:t>8</w:t>
            </w:r>
          </w:p>
        </w:tc>
        <w:tc>
          <w:tcPr>
            <w:tcW w:w="2873" w:type="dxa"/>
            <w:gridSpan w:val="2"/>
            <w:vMerge w:val="continue"/>
            <w:vAlign w:val="center"/>
          </w:tcPr>
          <w:p>
            <w:pPr>
              <w:keepLines/>
              <w:jc w:val="center"/>
              <w:rPr>
                <w:color w:val="auto"/>
                <w:highlight w:val="none"/>
                <w:lang w:eastAsia="en-US"/>
              </w:rPr>
            </w:pPr>
          </w:p>
        </w:tc>
      </w:tr>
    </w:tbl>
    <w:p>
      <w:pPr>
        <w:adjustRightInd w:val="0"/>
        <w:snapToGrid w:val="0"/>
        <w:spacing w:before="120" w:line="240" w:lineRule="auto"/>
        <w:jc w:val="both"/>
        <w:rPr>
          <w:rFonts w:ascii="Times New Roman" w:hAnsi="Times New Roman"/>
          <w:color w:val="auto"/>
          <w:sz w:val="20"/>
          <w:szCs w:val="20"/>
          <w:highlight w:val="none"/>
        </w:rPr>
      </w:pPr>
    </w:p>
    <w:p>
      <w:pPr>
        <w:adjustRightInd w:val="0"/>
        <w:snapToGrid w:val="0"/>
        <w:spacing w:before="120" w:line="240" w:lineRule="auto"/>
        <w:jc w:val="center"/>
        <w:rPr>
          <w:rFonts w:ascii="Times New Roman" w:hAnsi="Times New Roman"/>
          <w:color w:val="auto"/>
          <w:sz w:val="20"/>
          <w:szCs w:val="20"/>
          <w:highlight w:val="none"/>
        </w:rPr>
      </w:pPr>
      <w:r>
        <w:rPr>
          <w:color w:val="auto"/>
          <w:highlight w:val="none"/>
        </w:rPr>
        <w:drawing>
          <wp:inline distT="0" distB="0" distL="0" distR="0">
            <wp:extent cx="4548505" cy="340995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34" cstate="print"/>
                    <a:srcRect/>
                    <a:stretch>
                      <a:fillRect/>
                    </a:stretch>
                  </pic:blipFill>
                  <pic:spPr>
                    <a:xfrm>
                      <a:off x="0" y="0"/>
                      <a:ext cx="4548505" cy="3409950"/>
                    </a:xfrm>
                    <a:prstGeom prst="rect">
                      <a:avLst/>
                    </a:prstGeom>
                    <a:noFill/>
                    <a:ln w="9525">
                      <a:noFill/>
                      <a:miter lim="800000"/>
                      <a:headEnd/>
                      <a:tailEnd/>
                    </a:ln>
                  </pic:spPr>
                </pic:pic>
              </a:graphicData>
            </a:graphic>
          </wp:inline>
        </w:drawing>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Figure </w:t>
      </w:r>
      <w:r>
        <w:rPr>
          <w:rFonts w:hint="eastAsia" w:ascii="Times New Roman" w:hAnsi="Times New Roman"/>
          <w:color w:val="auto"/>
          <w:sz w:val="20"/>
          <w:szCs w:val="20"/>
          <w:highlight w:val="none"/>
          <w:lang w:val="en-US" w:eastAsia="zh-CN"/>
        </w:rPr>
        <w:t>9</w:t>
      </w:r>
      <w:r>
        <w:rPr>
          <w:rFonts w:hint="eastAsia" w:ascii="Times New Roman" w:hAnsi="Times New Roman"/>
          <w:color w:val="auto"/>
          <w:sz w:val="20"/>
          <w:szCs w:val="20"/>
          <w:highlight w:val="none"/>
        </w:rPr>
        <w:t xml:space="preserve">. </w:t>
      </w:r>
      <w:r>
        <w:rPr>
          <w:rFonts w:hint="eastAsia" w:ascii="Times New Roman" w:hAnsi="宋体"/>
          <w:color w:val="auto"/>
          <w:sz w:val="20"/>
          <w:szCs w:val="20"/>
          <w:highlight w:val="none"/>
        </w:rPr>
        <w:t xml:space="preserve">Simulation results on </w:t>
      </w:r>
      <w:r>
        <w:rPr>
          <w:rFonts w:hint="eastAsia" w:ascii="Times New Roman" w:hAnsi="Times New Roman"/>
          <w:color w:val="auto"/>
          <w:sz w:val="20"/>
          <w:szCs w:val="20"/>
          <w:highlight w:val="none"/>
        </w:rPr>
        <w:t>SNR/efficiency</w:t>
      </w:r>
      <w:r>
        <w:rPr>
          <w:rFonts w:hint="eastAsia" w:ascii="Times New Roman" w:hAnsi="宋体"/>
          <w:color w:val="auto"/>
          <w:sz w:val="20"/>
          <w:szCs w:val="20"/>
          <w:highlight w:val="none"/>
        </w:rPr>
        <w:t xml:space="preserve"> for turbo and LDPC</w:t>
      </w:r>
    </w:p>
    <w:p>
      <w:pPr>
        <w:numPr>
          <w:ilvl w:val="0"/>
          <w:numId w:val="10"/>
        </w:numPr>
        <w:adjustRightInd w:val="0"/>
        <w:snapToGrid w:val="0"/>
        <w:spacing w:before="12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CSI reference resource</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In LTE, CQI is derived based on CSI reference resource and some assumptions on data transmission by UE. UE identifies CSI reference resource based on the timing condition of the associated CSI reporting. Then some parameters used for CSI reporting, e.g., number of symbols in a subframe depending on the reference resource is a special subframe or a normal subframe. On the other hand, UE assumes some other parameters for data transmission, e.g., resources used for PDCCH, number of REs occupied by RS and so on. Moreover, the target BLER of LTE CQI selection is 0.1 for one TB size.</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In NR, some new design aspects appear. One critical issue is NR needs to support various types of frame structure. NR would support both slot-based and mini-slot based transmission. For slot-based transmission, number of OFDM symbols per slot is 14, whereas number of symbols per mini-slot can be  2, 4 or 7 symbols. Moreover, even for slot-based transmission, number of available DL symbols can be very variable to support flexible TDD slot structure. If the number of symbols in the reference resource is too few, CQI derived from reference resource cannot reflect preferred MCS and TB size for normal number of symbols per slot, and vice versa. That</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s why in LTE, the length of DwPTS should be larger than 7680Ts if the CSI reference resource is a special subframe. One approach to solve this issue in NR is that gNB configures the number of PDSCH symbols per slot to UE for CQI derivation. Then gNB can configure CQI reporting based on its potential requirements for data scheduling.  This makes it decoupled with the number of symbols in CSI reference resource. Moreover, a set of numbers of symbols can be configured to UE in one or more report settings, and DCI is used to trigger one in each aperiodic CQI reporting.</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Overhead of RS in CSI reference resource also needs to be taken into account for CQI derivation. In LTE, overhead of CRS, CSI-RS and UE-specific RS depends on transmission mode based on some complex rules lacking flexibility. If we adopt similar approach in NR, more complicated results would be drawn as we have UE-specific configuration on CSI-RS, DMRS and PTRS, and transmission scheme can be transparently and dynamically changed. Further, for DMRS, the frequency and time densities are fixed in LTE, but for NR, they are variable in NR. In particular, time density of DMRS can be variable from 1 to 4 considering different UE speed, whereas frequency density can be 3 or 2 depending on the configuration type of DMRS. These densities impact not only the RE overhead, but also the channel estimation performance which affects BLER and CQI derivation. For example, in high-speed scenarios, assuming 1-symbol DMRS or 4-symbol DMRS would lead to very different BLERs, which leads to  different CQI levels. One simple and flexible approach is that gNB configures overall rate matching patterns to UE for CQI derivation. Multiple configurations are possible in one or more report settings, and gNB can trigger one configuration for aperiodic CSI reporting.</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Based on the above analysis, gNB needs to configure rate matching pattern for RS and number of DL symbols per slot to UE as the assumption for CQI derivation. If these parameters are configured independently, the possible number of combinations would be quite large. It would introduce large UE complexity as UE needs to implement all possible combinations. Then joint configuration is a more reasonable approach considering UE complexity, and only a few limited number of parameter combinations are supported for joint configuration. The follow table can be an example for this joint configuration.</w:t>
      </w:r>
    </w:p>
    <w:p>
      <w:pPr>
        <w:adjustRightInd w:val="0"/>
        <w:snapToGrid w:val="0"/>
        <w:spacing w:before="120" w:line="240" w:lineRule="auto"/>
        <w:jc w:val="center"/>
        <w:rPr>
          <w:rFonts w:ascii="Times New Roman" w:hAnsi="Times New Roman"/>
          <w:color w:val="auto"/>
          <w:sz w:val="20"/>
          <w:szCs w:val="20"/>
          <w:highlight w:val="none"/>
        </w:rPr>
      </w:pPr>
      <w:r>
        <w:rPr>
          <w:rFonts w:hint="eastAsia" w:ascii="Times New Roman" w:hAnsi="Times New Roman"/>
          <w:b/>
          <w:bCs/>
          <w:color w:val="auto"/>
          <w:sz w:val="20"/>
          <w:szCs w:val="20"/>
          <w:highlight w:val="none"/>
        </w:rPr>
        <w:t xml:space="preserve">Table </w:t>
      </w:r>
      <w:r>
        <w:rPr>
          <w:rFonts w:hint="eastAsia" w:ascii="Times New Roman" w:hAnsi="Times New Roman"/>
          <w:b/>
          <w:bCs/>
          <w:color w:val="auto"/>
          <w:sz w:val="20"/>
          <w:szCs w:val="20"/>
          <w:highlight w:val="none"/>
          <w:lang w:val="en-US" w:eastAsia="zh-CN"/>
        </w:rPr>
        <w:t>9</w:t>
      </w:r>
      <w:r>
        <w:rPr>
          <w:rFonts w:hint="eastAsia" w:ascii="Times New Roman" w:hAnsi="Times New Roman"/>
          <w:b/>
          <w:bCs/>
          <w:color w:val="auto"/>
          <w:sz w:val="20"/>
          <w:szCs w:val="20"/>
          <w:highlight w:val="none"/>
        </w:rPr>
        <w:t xml:space="preserve"> Joint configuration of parameters for CQI derivation</w:t>
      </w:r>
    </w:p>
    <w:tbl>
      <w:tblPr>
        <w:tblStyle w:val="22"/>
        <w:tblW w:w="6662" w:type="dxa"/>
        <w:jc w:val="center"/>
        <w:tblInd w:w="1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2218"/>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Index</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DMRS pattern</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Number of DL data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0</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Configuration Type: 1 </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2</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3</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2</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4</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5</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2</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1</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6</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2</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875"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7</w:t>
            </w:r>
          </w:p>
        </w:tc>
        <w:tc>
          <w:tcPr>
            <w:tcW w:w="2218"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Configuration Type: 1</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Time domain density: 4</w:t>
            </w:r>
          </w:p>
        </w:tc>
        <w:tc>
          <w:tcPr>
            <w:tcW w:w="2569" w:type="dxa"/>
          </w:tcPr>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12</w:t>
            </w:r>
          </w:p>
        </w:tc>
      </w:tr>
    </w:tbl>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Times New Roman"/>
          <w:b/>
          <w:bCs/>
          <w:i/>
          <w:iCs/>
          <w:color w:val="auto"/>
          <w:sz w:val="20"/>
          <w:szCs w:val="20"/>
          <w:highlight w:val="none"/>
        </w:rPr>
        <w:t>Proposal 11:</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Support gNB</w:t>
      </w:r>
      <w:r>
        <w:rPr>
          <w:rFonts w:hint="eastAsia" w:ascii="Times New Roman" w:hAnsi="Times New Roman"/>
          <w:i/>
          <w:iCs/>
          <w:color w:val="auto"/>
          <w:sz w:val="20"/>
          <w:szCs w:val="20"/>
          <w:highlight w:val="none"/>
        </w:rPr>
        <w:t xml:space="preserve"> configur</w:t>
      </w:r>
      <w:r>
        <w:rPr>
          <w:rFonts w:ascii="Times New Roman" w:hAnsi="Times New Roman"/>
          <w:i/>
          <w:iCs/>
          <w:color w:val="auto"/>
          <w:sz w:val="20"/>
          <w:szCs w:val="20"/>
          <w:highlight w:val="none"/>
        </w:rPr>
        <w:t>ation</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 xml:space="preserve">of </w:t>
      </w:r>
      <w:r>
        <w:rPr>
          <w:rFonts w:hint="eastAsia" w:ascii="Times New Roman" w:hAnsi="Times New Roman"/>
          <w:i/>
          <w:iCs/>
          <w:color w:val="auto"/>
          <w:sz w:val="20"/>
          <w:szCs w:val="20"/>
          <w:highlight w:val="none"/>
        </w:rPr>
        <w:t>at least the following parameters to UE for NR CQI derivation</w:t>
      </w:r>
    </w:p>
    <w:p>
      <w:pPr>
        <w:numPr>
          <w:ilvl w:val="0"/>
          <w:numId w:val="15"/>
        </w:numPr>
        <w:adjustRightInd w:val="0"/>
        <w:snapToGrid w:val="0"/>
        <w:spacing w:after="0"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RS pattern</w:t>
      </w:r>
    </w:p>
    <w:p>
      <w:pPr>
        <w:numPr>
          <w:ilvl w:val="0"/>
          <w:numId w:val="15"/>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Number of DL symbols per slot</w:t>
      </w:r>
    </w:p>
    <w:p>
      <w:pPr>
        <w:numPr>
          <w:ilvl w:val="0"/>
          <w:numId w:val="15"/>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Limited number of combinations of the above parameters are supported for joint configuration</w:t>
      </w:r>
    </w:p>
    <w:p>
      <w:pPr>
        <w:adjustRightInd w:val="0"/>
        <w:snapToGrid w:val="0"/>
        <w:spacing w:after="0" w:line="240" w:lineRule="auto"/>
        <w:jc w:val="both"/>
        <w:rPr>
          <w:rFonts w:ascii="Times New Roman" w:hAnsi="Times New Roman"/>
          <w:i/>
          <w:iCs/>
          <w:color w:val="auto"/>
          <w:sz w:val="20"/>
          <w:szCs w:val="20"/>
          <w:highlight w:val="none"/>
        </w:rPr>
      </w:pPr>
    </w:p>
    <w:p>
      <w:pPr>
        <w:adjustRightInd w:val="0"/>
        <w:snapToGrid w:val="0"/>
        <w:spacing w:after="0" w:line="240" w:lineRule="auto"/>
        <w:jc w:val="both"/>
        <w:rPr>
          <w:rFonts w:ascii="Times New Roman" w:hAnsi="Times New Roman"/>
          <w:i/>
          <w:iCs/>
          <w:color w:val="auto"/>
          <w:sz w:val="20"/>
          <w:szCs w:val="20"/>
          <w:highlight w:val="none"/>
        </w:rPr>
      </w:pPr>
    </w:p>
    <w:p>
      <w:pPr>
        <w:adjustRightInd w:val="0"/>
        <w:snapToGrid w:val="0"/>
        <w:spacing w:after="0" w:line="240" w:lineRule="auto"/>
        <w:jc w:val="both"/>
        <w:rPr>
          <w:rFonts w:ascii="Times New Roman" w:hAnsi="Times New Roman"/>
          <w:i/>
          <w:iCs/>
          <w:color w:val="auto"/>
          <w:sz w:val="20"/>
          <w:szCs w:val="20"/>
          <w:highlight w:val="none"/>
        </w:rPr>
      </w:pPr>
    </w:p>
    <w:p>
      <w:pPr>
        <w:numPr>
          <w:ilvl w:val="0"/>
          <w:numId w:val="10"/>
        </w:numPr>
        <w:adjustRightInd w:val="0"/>
        <w:snapToGrid w:val="0"/>
        <w:spacing w:before="12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Conclusions</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In this contribution, we discuss, simulate and give these  designed  NR CQI and MCS tables in detail for eMBB. Based on the discussion and simulation results, we have the following proposals.</w:t>
      </w:r>
    </w:p>
    <w:p>
      <w:pPr>
        <w:adjustRightInd w:val="0"/>
        <w:snapToGrid w:val="0"/>
        <w:spacing w:before="120"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Proposal 1</w:t>
      </w:r>
      <w:r>
        <w:rPr>
          <w:rFonts w:hint="eastAsia" w:ascii="Times New Roman" w:hAnsi="宋体"/>
          <w:i/>
          <w:iCs/>
          <w:color w:val="auto"/>
          <w:sz w:val="20"/>
          <w:szCs w:val="20"/>
          <w:highlight w:val="none"/>
        </w:rPr>
        <w:t xml:space="preserve">: Dedicated CQI/MCS table for URLLC TBS </w:t>
      </w:r>
      <w:r>
        <w:rPr>
          <w:rFonts w:ascii="Times New Roman" w:hAnsi="宋体"/>
          <w:i/>
          <w:iCs/>
          <w:color w:val="auto"/>
          <w:sz w:val="20"/>
          <w:szCs w:val="20"/>
          <w:highlight w:val="none"/>
        </w:rPr>
        <w:t>table for</w:t>
      </w:r>
      <w:r>
        <w:rPr>
          <w:rFonts w:hint="eastAsia" w:ascii="Times New Roman" w:hAnsi="宋体"/>
          <w:i/>
          <w:iCs/>
          <w:color w:val="auto"/>
          <w:sz w:val="20"/>
          <w:szCs w:val="20"/>
          <w:highlight w:val="none"/>
        </w:rPr>
        <w:t xml:space="preserve"> URLLC should be </w:t>
      </w:r>
      <w:r>
        <w:rPr>
          <w:rFonts w:ascii="Times New Roman" w:hAnsi="宋体"/>
          <w:i/>
          <w:iCs/>
          <w:color w:val="auto"/>
          <w:sz w:val="20"/>
          <w:szCs w:val="20"/>
          <w:highlight w:val="none"/>
        </w:rPr>
        <w:t>decided after</w:t>
      </w:r>
      <w:r>
        <w:rPr>
          <w:rFonts w:hint="eastAsia" w:ascii="Times New Roman" w:hAnsi="宋体"/>
          <w:i/>
          <w:iCs/>
          <w:color w:val="auto"/>
          <w:sz w:val="20"/>
          <w:szCs w:val="20"/>
          <w:highlight w:val="none"/>
        </w:rPr>
        <w:t xml:space="preserve"> channel coding schemes for URLLC is decided.</w:t>
      </w:r>
    </w:p>
    <w:p>
      <w:pPr>
        <w:adjustRightInd w:val="0"/>
        <w:snapToGrid w:val="0"/>
        <w:spacing w:before="120"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Proposal 2</w:t>
      </w:r>
      <w:r>
        <w:rPr>
          <w:rFonts w:hint="eastAsia" w:ascii="Times New Roman" w:hAnsi="宋体"/>
          <w:i/>
          <w:iCs/>
          <w:color w:val="auto"/>
          <w:sz w:val="20"/>
          <w:szCs w:val="20"/>
          <w:highlight w:val="none"/>
        </w:rPr>
        <w:t xml:space="preserve">: NR reuses CQI index 0-14 of LTE 256QAM CQI table. </w:t>
      </w:r>
    </w:p>
    <w:p>
      <w:pPr>
        <w:numPr>
          <w:ilvl w:val="0"/>
          <w:numId w:val="12"/>
        </w:numPr>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CQI index 15 is obtained by extending the highest code rate to 0.95</w:t>
      </w:r>
    </w:p>
    <w:p>
      <w:pPr>
        <w:adjustRightInd w:val="0"/>
        <w:snapToGrid w:val="0"/>
        <w:spacing w:before="120" w:line="240" w:lineRule="auto"/>
        <w:jc w:val="both"/>
        <w:rPr>
          <w:rFonts w:ascii="Times New Roman" w:hAnsi="Times New Roman"/>
          <w:color w:val="auto"/>
          <w:sz w:val="20"/>
          <w:szCs w:val="20"/>
          <w:highlight w:val="none"/>
        </w:rPr>
      </w:pPr>
      <w:r>
        <w:rPr>
          <w:rFonts w:hint="eastAsia" w:ascii="Times New Roman" w:hAnsi="Times New Roman"/>
          <w:b/>
          <w:bCs/>
          <w:i/>
          <w:iCs/>
          <w:color w:val="auto"/>
          <w:sz w:val="20"/>
          <w:szCs w:val="20"/>
          <w:highlight w:val="none"/>
        </w:rPr>
        <w:t>Proposal 3</w:t>
      </w:r>
      <w:r>
        <w:rPr>
          <w:rFonts w:hint="eastAsia" w:ascii="Times New Roman" w:hAnsi="Times New Roman"/>
          <w:i/>
          <w:iCs/>
          <w:color w:val="auto"/>
          <w:sz w:val="20"/>
          <w:szCs w:val="20"/>
          <w:highlight w:val="none"/>
        </w:rPr>
        <w:t xml:space="preserve">:TBS index field is added as a forth column in MCS table in addition to the following fields: </w:t>
      </w:r>
      <w:r>
        <w:rPr>
          <w:rFonts w:ascii="Times New Roman" w:hAnsi="Times New Roman"/>
          <w:i/>
          <w:iCs/>
          <w:color w:val="auto"/>
          <w:sz w:val="20"/>
          <w:szCs w:val="20"/>
          <w:highlight w:val="none"/>
        </w:rPr>
        <w:t>MCS index</w:t>
      </w:r>
      <w:r>
        <w:rPr>
          <w:rFonts w:hint="eastAsia" w:ascii="Times New Roman" w:hAnsi="Times New Roman"/>
          <w:i/>
          <w:iCs/>
          <w:color w:val="auto"/>
          <w:sz w:val="20"/>
          <w:szCs w:val="20"/>
          <w:highlight w:val="none"/>
        </w:rPr>
        <w:t>,</w:t>
      </w:r>
      <w:r>
        <w:rPr>
          <w:rFonts w:ascii="Times New Roman" w:hAnsi="Times New Roman"/>
          <w:i/>
          <w:iCs/>
          <w:color w:val="auto"/>
          <w:sz w:val="20"/>
          <w:szCs w:val="20"/>
          <w:highlight w:val="none"/>
        </w:rPr>
        <w:t xml:space="preserve"> a corresponding modulation order and target code rate x [1024]</w:t>
      </w:r>
      <w:r>
        <w:rPr>
          <w:rFonts w:hint="eastAsia" w:ascii="Times New Roman" w:hAnsi="Times New Roman"/>
          <w:i/>
          <w:iCs/>
          <w:color w:val="auto"/>
          <w:sz w:val="20"/>
          <w:szCs w:val="20"/>
          <w:highlight w:val="none"/>
        </w:rPr>
        <w:t>.</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4:</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64QAM for LTE PDSCH is reused for NR PDSCH.</w:t>
      </w:r>
    </w:p>
    <w:p>
      <w:pPr>
        <w:numPr>
          <w:ilvl w:val="0"/>
          <w:numId w:val="12"/>
        </w:numPr>
        <w:adjustRightInd w:val="0"/>
        <w:snapToGrid w:val="0"/>
        <w:spacing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 xml:space="preserve"> The code rate x 1024 column is added with values implying the same efficiency as LTE</w:t>
      </w:r>
      <w:r>
        <w:rPr>
          <w:rFonts w:hint="eastAsia" w:ascii="Times New Roman" w:hAnsi="Times New Roman"/>
          <w:color w:val="auto"/>
          <w:sz w:val="20"/>
          <w:szCs w:val="20"/>
          <w:highlight w:val="none"/>
        </w:rPr>
        <w:t>.</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5</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256QAM for LTE PDSCH is reused for NR PDSCH except MCS indices 26 and 27.</w:t>
      </w:r>
    </w:p>
    <w:p>
      <w:pPr>
        <w:numPr>
          <w:ilvl w:val="0"/>
          <w:numId w:val="16"/>
        </w:numPr>
        <w:tabs>
          <w:tab w:val="left" w:pos="840"/>
        </w:tabs>
        <w:adjustRightInd w:val="0"/>
        <w:snapToGrid w:val="0"/>
        <w:spacing w:line="240" w:lineRule="auto"/>
        <w:ind w:left="840"/>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0"/>
          <w:numId w:val="16"/>
        </w:numPr>
        <w:tabs>
          <w:tab w:val="left" w:pos="840"/>
        </w:tabs>
        <w:adjustRightInd w:val="0"/>
        <w:snapToGrid w:val="0"/>
        <w:spacing w:line="240" w:lineRule="auto"/>
        <w:ind w:left="840"/>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MCS indices 26 and 27 are obtained by extending the highest code rate to 0.95.</w:t>
      </w:r>
      <w:r>
        <w:rPr>
          <w:rFonts w:hint="eastAsia" w:ascii="Times New Roman" w:hAnsi="宋体"/>
          <w:i/>
          <w:iCs/>
          <w:color w:val="auto"/>
          <w:sz w:val="20"/>
          <w:szCs w:val="20"/>
          <w:highlight w:val="none"/>
        </w:rPr>
        <w:t xml:space="preserve"> </w:t>
      </w:r>
    </w:p>
    <w:p>
      <w:pPr>
        <w:adjustRightInd w:val="0"/>
        <w:snapToGrid w:val="0"/>
        <w:spacing w:before="120" w:line="240" w:lineRule="auto"/>
        <w:jc w:val="both"/>
        <w:rPr>
          <w:rFonts w:ascii="Times New Roman" w:hAnsi="Times New Roman"/>
          <w:i/>
          <w:iCs/>
          <w:color w:val="auto"/>
          <w:sz w:val="20"/>
          <w:szCs w:val="20"/>
          <w:highlight w:val="none"/>
        </w:rPr>
      </w:pPr>
      <w:r>
        <w:rPr>
          <w:rFonts w:hint="eastAsia" w:ascii="Times New Roman" w:hAnsi="Times New Roman"/>
          <w:b/>
          <w:bCs/>
          <w:i/>
          <w:iCs/>
          <w:color w:val="auto"/>
          <w:sz w:val="20"/>
          <w:szCs w:val="20"/>
          <w:highlight w:val="none"/>
        </w:rPr>
        <w:t>Proposal 6:</w:t>
      </w:r>
      <w:r>
        <w:rPr>
          <w:rFonts w:hint="eastAsia" w:ascii="Times New Roman" w:hAnsi="Times New Roman"/>
          <w:i/>
          <w:iCs/>
          <w:color w:val="auto"/>
          <w:sz w:val="20"/>
          <w:szCs w:val="20"/>
          <w:highlight w:val="none"/>
        </w:rPr>
        <w:t xml:space="preserve"> The last several MCS indices in MCS table of NR PUSCH are reserved for modulation order indication as MCS table of LTE PDSCH .</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7</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table up to 64QAM for LTE PUSCH is reused for NR PUSCH with CP-OFDM except MCS indices 29-31.</w:t>
      </w:r>
    </w:p>
    <w:p>
      <w:pPr>
        <w:numPr>
          <w:ilvl w:val="0"/>
          <w:numId w:val="13"/>
        </w:numPr>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0"/>
          <w:numId w:val="13"/>
        </w:numPr>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MCS index 29-31 are reserved for modulation order indication</w:t>
      </w:r>
    </w:p>
    <w:p>
      <w:pPr>
        <w:adjustRightInd w:val="0"/>
        <w:snapToGrid w:val="0"/>
        <w:spacing w:line="240" w:lineRule="auto"/>
        <w:jc w:val="both"/>
        <w:rPr>
          <w:rFonts w:ascii="Times New Roman" w:hAnsi="Times New Roman"/>
          <w:i/>
          <w:iCs/>
          <w:color w:val="auto"/>
          <w:sz w:val="20"/>
          <w:szCs w:val="20"/>
          <w:highlight w:val="none"/>
        </w:rPr>
      </w:pPr>
      <w:r>
        <w:rPr>
          <w:rFonts w:hint="eastAsia" w:ascii="Times New Roman" w:hAnsi="宋体"/>
          <w:b/>
          <w:bCs/>
          <w:i/>
          <w:iCs/>
          <w:color w:val="auto"/>
          <w:sz w:val="20"/>
          <w:szCs w:val="20"/>
          <w:highlight w:val="none"/>
        </w:rPr>
        <w:t>Proposal 8</w:t>
      </w:r>
      <w:r>
        <w:rPr>
          <w:rFonts w:hint="eastAsia" w:ascii="Times New Roman" w:hAnsi="宋体"/>
          <w:i/>
          <w:iCs/>
          <w:color w:val="auto"/>
          <w:sz w:val="20"/>
          <w:szCs w:val="20"/>
          <w:highlight w:val="none"/>
        </w:rPr>
        <w:t xml:space="preserve">: </w:t>
      </w:r>
      <w:r>
        <w:rPr>
          <w:rFonts w:hint="eastAsia" w:ascii="Times New Roman" w:hAnsi="Times New Roman"/>
          <w:i/>
          <w:iCs/>
          <w:color w:val="auto"/>
          <w:sz w:val="20"/>
          <w:szCs w:val="20"/>
          <w:highlight w:val="none"/>
        </w:rPr>
        <w:t>MCS indices 0-18 for of LTE PUSCH up to 256QAM are reused for NR PUSCH up to 256QAM with CP-OFDM.</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code rate x 1024 column is added with values implying the same efficiency as LTE</w:t>
      </w:r>
    </w:p>
    <w:p>
      <w:pPr>
        <w:numPr>
          <w:ilvl w:val="0"/>
          <w:numId w:val="17"/>
        </w:numPr>
        <w:tabs>
          <w:tab w:val="left" w:pos="840"/>
        </w:tabs>
        <w:adjustRightInd w:val="0"/>
        <w:snapToGrid w:val="0"/>
        <w:spacing w:line="240" w:lineRule="auto"/>
        <w:ind w:left="840"/>
        <w:jc w:val="both"/>
        <w:rPr>
          <w:rFonts w:ascii="Times New Roman" w:hAnsi="宋体"/>
          <w:i/>
          <w:iCs/>
          <w:color w:val="auto"/>
          <w:sz w:val="20"/>
          <w:szCs w:val="20"/>
          <w:highlight w:val="none"/>
        </w:rPr>
      </w:pPr>
      <w:r>
        <w:rPr>
          <w:rFonts w:hint="eastAsia" w:ascii="Times New Roman" w:hAnsi="Times New Roman"/>
          <w:i/>
          <w:iCs/>
          <w:color w:val="auto"/>
          <w:sz w:val="20"/>
          <w:szCs w:val="20"/>
          <w:highlight w:val="none"/>
        </w:rPr>
        <w:t>MCS index 28-31 are reserved for modulation order indication</w:t>
      </w:r>
    </w:p>
    <w:p>
      <w:pPr>
        <w:adjustRightInd w:val="0"/>
        <w:snapToGrid w:val="0"/>
        <w:spacing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 xml:space="preserve">Proposal 9: </w:t>
      </w:r>
      <w:r>
        <w:rPr>
          <w:rFonts w:hint="eastAsia" w:ascii="Times New Roman" w:hAnsi="宋体"/>
          <w:i/>
          <w:iCs/>
          <w:color w:val="auto"/>
          <w:sz w:val="20"/>
          <w:szCs w:val="20"/>
          <w:highlight w:val="none"/>
        </w:rPr>
        <w:t xml:space="preserve">MCS table up to 64QAM for NR PUSCH with DFT-s-OFDM is obtained from the NR PUSCH MCS table up to 64QAM with CP-OFDM as follows </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Use 2 entries of  Pi/2 BPSK  to replace the 2 entries of QPSK in CP-OFDM table with the same two lowest SEs</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MCS indices 28 - 31 are reserved for indication of modulation order 1, 2, 4 and 6.</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other code rate points are reused for MCS table up to 64QAM for NR PUSCH with DFT-s-OFDM.</w:t>
      </w:r>
    </w:p>
    <w:p>
      <w:pPr>
        <w:adjustRightInd w:val="0"/>
        <w:snapToGrid w:val="0"/>
        <w:spacing w:line="240" w:lineRule="auto"/>
        <w:jc w:val="both"/>
        <w:rPr>
          <w:rFonts w:ascii="Times New Roman" w:hAnsi="宋体"/>
          <w:i/>
          <w:iCs/>
          <w:color w:val="auto"/>
          <w:sz w:val="20"/>
          <w:szCs w:val="20"/>
          <w:highlight w:val="none"/>
        </w:rPr>
      </w:pPr>
      <w:r>
        <w:rPr>
          <w:rFonts w:hint="eastAsia" w:ascii="Times New Roman" w:hAnsi="宋体"/>
          <w:b/>
          <w:bCs/>
          <w:i/>
          <w:iCs/>
          <w:color w:val="auto"/>
          <w:sz w:val="20"/>
          <w:szCs w:val="20"/>
          <w:highlight w:val="none"/>
        </w:rPr>
        <w:t>Proposal 10:</w:t>
      </w:r>
      <w:r>
        <w:rPr>
          <w:rFonts w:hint="eastAsia" w:ascii="Times New Roman" w:hAnsi="宋体"/>
          <w:i/>
          <w:iCs/>
          <w:color w:val="auto"/>
          <w:sz w:val="20"/>
          <w:szCs w:val="20"/>
          <w:highlight w:val="none"/>
        </w:rPr>
        <w:t xml:space="preserve"> MCS table up to 256QAM for NR PUSCH with DFT-s-OFDM is obtained from the NR PUSCH MCS table up to 256QAM with CP-OFDM as follows </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Use 1 entry of  Pi/2 BPSK  to replace the entry of QPSK in CP-OFDM table with the same lowest SE</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MCS indices 27 - 31 are reserved for indication of modulation order 1, 2, 4, 6 and 8.</w:t>
      </w:r>
    </w:p>
    <w:p>
      <w:pPr>
        <w:numPr>
          <w:ilvl w:val="0"/>
          <w:numId w:val="17"/>
        </w:numPr>
        <w:tabs>
          <w:tab w:val="left" w:pos="840"/>
        </w:tabs>
        <w:adjustRightInd w:val="0"/>
        <w:snapToGrid w:val="0"/>
        <w:spacing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The other code rate points are reused for MCS table up to 256QAM for NR PUSCH with DFT-s-OFDM.</w:t>
      </w:r>
    </w:p>
    <w:p>
      <w:pPr>
        <w:adjustRightInd w:val="0"/>
        <w:snapToGrid w:val="0"/>
        <w:spacing w:before="120" w:after="0" w:line="240" w:lineRule="auto"/>
        <w:jc w:val="both"/>
        <w:rPr>
          <w:rFonts w:ascii="Times New Roman" w:hAnsi="Times New Roman"/>
          <w:i/>
          <w:iCs/>
          <w:color w:val="auto"/>
          <w:sz w:val="20"/>
          <w:szCs w:val="20"/>
          <w:highlight w:val="none"/>
        </w:rPr>
      </w:pPr>
      <w:r>
        <w:rPr>
          <w:rFonts w:hint="eastAsia" w:ascii="Times New Roman" w:hAnsi="Times New Roman"/>
          <w:b/>
          <w:bCs/>
          <w:i/>
          <w:iCs/>
          <w:color w:val="auto"/>
          <w:sz w:val="20"/>
          <w:szCs w:val="20"/>
          <w:highlight w:val="none"/>
        </w:rPr>
        <w:t>Proposal 11:</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Support gNB</w:t>
      </w:r>
      <w:r>
        <w:rPr>
          <w:rFonts w:hint="eastAsia" w:ascii="Times New Roman" w:hAnsi="Times New Roman"/>
          <w:i/>
          <w:iCs/>
          <w:color w:val="auto"/>
          <w:sz w:val="20"/>
          <w:szCs w:val="20"/>
          <w:highlight w:val="none"/>
        </w:rPr>
        <w:t xml:space="preserve"> configur</w:t>
      </w:r>
      <w:r>
        <w:rPr>
          <w:rFonts w:ascii="Times New Roman" w:hAnsi="Times New Roman"/>
          <w:i/>
          <w:iCs/>
          <w:color w:val="auto"/>
          <w:sz w:val="20"/>
          <w:szCs w:val="20"/>
          <w:highlight w:val="none"/>
        </w:rPr>
        <w:t>ation</w:t>
      </w:r>
      <w:r>
        <w:rPr>
          <w:rFonts w:hint="eastAsia" w:ascii="Times New Roman" w:hAnsi="Times New Roman"/>
          <w:i/>
          <w:iCs/>
          <w:color w:val="auto"/>
          <w:sz w:val="20"/>
          <w:szCs w:val="20"/>
          <w:highlight w:val="none"/>
        </w:rPr>
        <w:t xml:space="preserve"> </w:t>
      </w:r>
      <w:r>
        <w:rPr>
          <w:rFonts w:ascii="Times New Roman" w:hAnsi="Times New Roman"/>
          <w:i/>
          <w:iCs/>
          <w:color w:val="auto"/>
          <w:sz w:val="20"/>
          <w:szCs w:val="20"/>
          <w:highlight w:val="none"/>
        </w:rPr>
        <w:t xml:space="preserve">of </w:t>
      </w:r>
      <w:r>
        <w:rPr>
          <w:rFonts w:hint="eastAsia" w:ascii="Times New Roman" w:hAnsi="Times New Roman"/>
          <w:i/>
          <w:iCs/>
          <w:color w:val="auto"/>
          <w:sz w:val="20"/>
          <w:szCs w:val="20"/>
          <w:highlight w:val="none"/>
        </w:rPr>
        <w:t>at least the following parameters to UE for NR CQI derivation</w:t>
      </w:r>
    </w:p>
    <w:p>
      <w:pPr>
        <w:numPr>
          <w:ilvl w:val="0"/>
          <w:numId w:val="15"/>
        </w:numPr>
        <w:adjustRightInd w:val="0"/>
        <w:snapToGrid w:val="0"/>
        <w:spacing w:after="0" w:line="240" w:lineRule="auto"/>
        <w:ind w:left="840"/>
        <w:jc w:val="both"/>
        <w:rPr>
          <w:rFonts w:ascii="Times New Roman" w:hAnsi="Times New Roman"/>
          <w:i/>
          <w:iCs/>
          <w:color w:val="auto"/>
          <w:sz w:val="20"/>
          <w:szCs w:val="20"/>
          <w:highlight w:val="none"/>
        </w:rPr>
      </w:pPr>
      <w:r>
        <w:rPr>
          <w:rFonts w:hint="eastAsia" w:ascii="Times New Roman" w:hAnsi="Times New Roman"/>
          <w:i/>
          <w:iCs/>
          <w:color w:val="auto"/>
          <w:sz w:val="20"/>
          <w:szCs w:val="20"/>
          <w:highlight w:val="none"/>
        </w:rPr>
        <w:t>RS pattern</w:t>
      </w:r>
    </w:p>
    <w:p>
      <w:pPr>
        <w:numPr>
          <w:ilvl w:val="0"/>
          <w:numId w:val="15"/>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Number of DL symbols per slot</w:t>
      </w:r>
    </w:p>
    <w:p>
      <w:pPr>
        <w:numPr>
          <w:ilvl w:val="0"/>
          <w:numId w:val="15"/>
        </w:numPr>
        <w:adjustRightInd w:val="0"/>
        <w:snapToGrid w:val="0"/>
        <w:spacing w:after="0" w:line="240" w:lineRule="auto"/>
        <w:ind w:left="840"/>
        <w:jc w:val="both"/>
        <w:rPr>
          <w:rFonts w:ascii="Times New Roman" w:hAnsi="Times New Roman"/>
          <w:color w:val="auto"/>
          <w:sz w:val="20"/>
          <w:szCs w:val="20"/>
          <w:highlight w:val="none"/>
        </w:rPr>
      </w:pPr>
      <w:r>
        <w:rPr>
          <w:rFonts w:hint="eastAsia" w:ascii="Times New Roman" w:hAnsi="Times New Roman"/>
          <w:i/>
          <w:iCs/>
          <w:color w:val="auto"/>
          <w:sz w:val="20"/>
          <w:szCs w:val="20"/>
          <w:highlight w:val="none"/>
        </w:rPr>
        <w:t>Limited number of combinations of the above parameters are supported for joint configuration</w:t>
      </w:r>
    </w:p>
    <w:p>
      <w:pPr>
        <w:adjustRightInd w:val="0"/>
        <w:snapToGrid w:val="0"/>
        <w:spacing w:line="240" w:lineRule="auto"/>
        <w:jc w:val="both"/>
        <w:rPr>
          <w:rFonts w:ascii="Times New Roman" w:hAnsi="Times New Roman"/>
          <w:i/>
          <w:color w:val="auto"/>
          <w:sz w:val="20"/>
          <w:szCs w:val="20"/>
          <w:highlight w:val="none"/>
        </w:rPr>
      </w:pPr>
    </w:p>
    <w:p>
      <w:pPr>
        <w:numPr>
          <w:ilvl w:val="0"/>
          <w:numId w:val="10"/>
        </w:numPr>
        <w:spacing w:before="120" w:after="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Reference</w:t>
      </w:r>
      <w:r>
        <w:rPr>
          <w:rFonts w:ascii="Times New Roman" w:hAnsi="Times New Roman"/>
          <w:b/>
          <w:color w:val="auto"/>
          <w:sz w:val="24"/>
          <w:szCs w:val="24"/>
          <w:highlight w:val="none"/>
        </w:rPr>
        <w:t>s</w:t>
      </w:r>
    </w:p>
    <w:p>
      <w:pPr>
        <w:pStyle w:val="37"/>
        <w:adjustRightInd w:val="0"/>
        <w:snapToGrid w:val="0"/>
        <w:spacing w:line="276" w:lineRule="auto"/>
        <w:rPr>
          <w:rFonts w:ascii="Times New Roman" w:hAnsi="Times New Roman"/>
          <w:color w:val="auto"/>
          <w:sz w:val="20"/>
          <w:szCs w:val="20"/>
          <w:highlight w:val="none"/>
        </w:rPr>
      </w:pPr>
      <w:r>
        <w:rPr>
          <w:rFonts w:ascii="Times New Roman" w:hAnsi="Times New Roman"/>
          <w:color w:val="auto"/>
          <w:sz w:val="20"/>
          <w:szCs w:val="20"/>
          <w:highlight w:val="none"/>
        </w:rPr>
        <w:t>[</w:t>
      </w:r>
      <w:r>
        <w:rPr>
          <w:rFonts w:hint="eastAsia" w:ascii="Times New Roman" w:hAnsi="Times New Roman"/>
          <w:color w:val="auto"/>
          <w:sz w:val="20"/>
          <w:szCs w:val="20"/>
          <w:highlight w:val="none"/>
        </w:rPr>
        <w:t>1</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xml:space="preserve"> Chairman</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s notes, 3GPP RAN1#90bis</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[2] R1-1717426,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On CQI and MCS</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ZTE, Sanechips</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[3] R1-1718849,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Summary for CQI and MCS</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xml:space="preserve"> AT&amp;T</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[4] R1-1718390,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On Adaptive CQI and MCS Table configuration for NR</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AT&amp;T</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[5] R1-1718435,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Discussion on CQI and MCS</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Ecrisson</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[6] R1-1717370,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CQI and MCS for NR</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Intel</w:t>
      </w:r>
    </w:p>
    <w:p>
      <w:pPr>
        <w:pStyle w:val="37"/>
        <w:adjustRightInd w:val="0"/>
        <w:snapToGrid w:val="0"/>
        <w:spacing w:line="276" w:lineRule="auto"/>
        <w:rPr>
          <w:rFonts w:ascii="Times New Roman" w:hAnsi="Times New Roman"/>
          <w:color w:val="auto"/>
          <w:sz w:val="20"/>
          <w:szCs w:val="20"/>
          <w:highlight w:val="none"/>
        </w:rPr>
      </w:pPr>
      <w:r>
        <w:rPr>
          <w:rFonts w:hint="eastAsia" w:ascii="Times New Roman" w:hAnsi="Times New Roman"/>
          <w:color w:val="auto"/>
          <w:sz w:val="20"/>
          <w:szCs w:val="20"/>
          <w:highlight w:val="none"/>
        </w:rPr>
        <w:t xml:space="preserve">[7] R1-1717474, </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Discussion on CQI and MCS</w:t>
      </w:r>
      <w:r>
        <w:rPr>
          <w:rFonts w:ascii="Times New Roman" w:hAnsi="Times New Roman"/>
          <w:color w:val="auto"/>
          <w:sz w:val="20"/>
          <w:szCs w:val="20"/>
          <w:highlight w:val="none"/>
        </w:rPr>
        <w:t>”</w:t>
      </w:r>
      <w:r>
        <w:rPr>
          <w:rFonts w:hint="eastAsia" w:ascii="Times New Roman" w:hAnsi="Times New Roman"/>
          <w:color w:val="auto"/>
          <w:sz w:val="20"/>
          <w:szCs w:val="20"/>
          <w:highlight w:val="none"/>
        </w:rPr>
        <w:t>, vivo</w:t>
      </w:r>
    </w:p>
    <w:p>
      <w:pPr>
        <w:pStyle w:val="37"/>
        <w:adjustRightInd w:val="0"/>
        <w:snapToGrid w:val="0"/>
        <w:spacing w:line="276" w:lineRule="auto"/>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w:t>
      </w:r>
      <w:r>
        <w:rPr>
          <w:rFonts w:hint="eastAsia" w:ascii="Times New Roman" w:hAnsi="Times New Roman"/>
          <w:color w:val="auto"/>
          <w:sz w:val="20"/>
          <w:szCs w:val="20"/>
          <w:highlight w:val="none"/>
          <w:lang w:eastAsia="zh-CN"/>
        </w:rPr>
        <w:t>8</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R1-1719491</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“Considerations on resource allocation issues”</w:t>
      </w:r>
      <w:r>
        <w:rPr>
          <w:rFonts w:hint="eastAsia" w:ascii="Times New Roman" w:hAnsi="Times New Roman"/>
          <w:color w:val="auto"/>
          <w:sz w:val="20"/>
          <w:szCs w:val="20"/>
          <w:highlight w:val="none"/>
        </w:rPr>
        <w:t>, ZTE</w:t>
      </w:r>
    </w:p>
    <w:p>
      <w:pPr>
        <w:pStyle w:val="37"/>
        <w:adjustRightInd w:val="0"/>
        <w:snapToGrid w:val="0"/>
        <w:spacing w:line="276" w:lineRule="auto"/>
        <w:rPr>
          <w:rFonts w:hint="eastAsia" w:ascii="Times New Roman" w:hAnsi="Times New Roman"/>
          <w:color w:val="auto"/>
          <w:sz w:val="20"/>
          <w:szCs w:val="20"/>
          <w:highlight w:val="none"/>
        </w:rPr>
      </w:pPr>
      <w:r>
        <w:rPr>
          <w:rFonts w:hint="eastAsia" w:ascii="Times New Roman" w:hAnsi="Times New Roman"/>
          <w:color w:val="auto"/>
          <w:sz w:val="20"/>
          <w:szCs w:val="20"/>
          <w:highlight w:val="none"/>
        </w:rPr>
        <w:t>[</w:t>
      </w:r>
      <w:r>
        <w:rPr>
          <w:rFonts w:hint="eastAsia" w:ascii="Times New Roman" w:hAnsi="Times New Roman"/>
          <w:color w:val="auto"/>
          <w:sz w:val="20"/>
          <w:szCs w:val="20"/>
          <w:highlight w:val="none"/>
          <w:lang w:val="en-US" w:eastAsia="zh-CN"/>
        </w:rPr>
        <w:t>9</w:t>
      </w:r>
      <w:r>
        <w:rPr>
          <w:rFonts w:hint="eastAsia" w:ascii="Times New Roman" w:hAnsi="Times New Roman"/>
          <w:color w:val="auto"/>
          <w:sz w:val="20"/>
          <w:szCs w:val="20"/>
          <w:highlight w:val="none"/>
        </w:rPr>
        <w:t xml:space="preserve">] </w:t>
      </w:r>
      <w:r>
        <w:rPr>
          <w:rFonts w:ascii="Times New Roman" w:hAnsi="Times New Roman"/>
          <w:bCs w:val="0"/>
          <w:color w:val="auto"/>
          <w:sz w:val="20"/>
          <w:szCs w:val="20"/>
          <w:highlight w:val="none"/>
        </w:rPr>
        <w:t>R1-1718644</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“On DL/UL Resource Allocation”</w:t>
      </w:r>
      <w:r>
        <w:rPr>
          <w:rFonts w:hint="eastAsia" w:ascii="Times New Roman" w:hAnsi="Times New Roman"/>
          <w:color w:val="auto"/>
          <w:sz w:val="20"/>
          <w:szCs w:val="20"/>
          <w:highlight w:val="none"/>
        </w:rPr>
        <w:t xml:space="preserve">, </w:t>
      </w:r>
      <w:r>
        <w:rPr>
          <w:rFonts w:ascii="Times New Roman" w:hAnsi="Times New Roman"/>
          <w:color w:val="auto"/>
          <w:sz w:val="20"/>
          <w:szCs w:val="20"/>
          <w:highlight w:val="none"/>
        </w:rPr>
        <w:t>Ericsson</w:t>
      </w:r>
    </w:p>
    <w:p>
      <w:pPr>
        <w:pStyle w:val="37"/>
        <w:adjustRightInd w:val="0"/>
        <w:snapToGrid w:val="0"/>
        <w:spacing w:line="276" w:lineRule="auto"/>
        <w:rPr>
          <w:rFonts w:ascii="Times New Roman" w:hAnsi="Times New Roman"/>
          <w:b/>
          <w:color w:val="auto"/>
          <w:sz w:val="20"/>
          <w:szCs w:val="20"/>
          <w:highlight w:val="none"/>
        </w:rPr>
      </w:pPr>
    </w:p>
    <w:p>
      <w:pPr>
        <w:numPr>
          <w:ilvl w:val="0"/>
          <w:numId w:val="10"/>
        </w:numPr>
        <w:spacing w:before="120" w:after="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Appendix 1 for simulation assumptions</w:t>
      </w:r>
    </w:p>
    <w:p>
      <w:pPr>
        <w:pStyle w:val="37"/>
        <w:adjustRightInd w:val="0"/>
        <w:snapToGrid w:val="0"/>
        <w:spacing w:line="276" w:lineRule="auto"/>
        <w:rPr>
          <w:rFonts w:ascii="Times New Roman" w:hAnsi="Times New Roman"/>
          <w:color w:val="auto"/>
          <w:sz w:val="20"/>
          <w:szCs w:val="20"/>
          <w:highlight w:val="none"/>
        </w:rPr>
      </w:pPr>
    </w:p>
    <w:tbl>
      <w:tblPr>
        <w:tblStyle w:val="22"/>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Number of antenna ports</w:t>
            </w:r>
          </w:p>
        </w:tc>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 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Wireless Channel</w:t>
            </w:r>
          </w:p>
        </w:tc>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Bandwidth</w:t>
            </w:r>
          </w:p>
        </w:tc>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6PRB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RE Number per PRB</w:t>
            </w:r>
          </w:p>
        </w:tc>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136 for CQI 15 and MCS 27, and 120 for others for NR and LTE PDSCH; 144 for NR and LTE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TBS</w:t>
            </w:r>
          </w:p>
        </w:tc>
        <w:tc>
          <w:tcPr>
            <w:tcW w:w="4788" w:type="dxa"/>
          </w:tcPr>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Modulation order x Code rate x PRB number x RE Number per PRB</w:t>
            </w:r>
          </w:p>
        </w:tc>
      </w:tr>
    </w:tbl>
    <w:p>
      <w:pPr>
        <w:spacing w:before="120" w:after="0" w:line="240" w:lineRule="auto"/>
        <w:jc w:val="both"/>
        <w:rPr>
          <w:rFonts w:ascii="Times New Roman" w:hAnsi="Times New Roman"/>
          <w:color w:val="auto"/>
          <w:sz w:val="20"/>
          <w:szCs w:val="20"/>
          <w:highlight w:val="none"/>
        </w:rPr>
      </w:pPr>
    </w:p>
    <w:p>
      <w:pPr>
        <w:numPr>
          <w:ilvl w:val="0"/>
          <w:numId w:val="10"/>
        </w:numPr>
        <w:spacing w:before="120" w:after="0" w:line="240" w:lineRule="auto"/>
        <w:ind w:left="357" w:hanging="357"/>
        <w:outlineLvl w:val="0"/>
        <w:rPr>
          <w:rFonts w:ascii="Times New Roman" w:hAnsi="Times New Roman"/>
          <w:b/>
          <w:color w:val="auto"/>
          <w:sz w:val="24"/>
          <w:szCs w:val="24"/>
          <w:highlight w:val="none"/>
        </w:rPr>
      </w:pPr>
      <w:r>
        <w:rPr>
          <w:rFonts w:hint="eastAsia" w:ascii="Times New Roman" w:hAnsi="Times New Roman"/>
          <w:b/>
          <w:color w:val="auto"/>
          <w:sz w:val="24"/>
          <w:szCs w:val="24"/>
          <w:highlight w:val="none"/>
        </w:rPr>
        <w:t>Appendix 2 CQI/MCS tables of LTE for reference</w:t>
      </w:r>
    </w:p>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We copy the CQI tables below from LTE for reference:</w:t>
      </w:r>
    </w:p>
    <w:p>
      <w:pPr>
        <w:spacing w:before="120" w:after="0" w:line="240" w:lineRule="auto"/>
        <w:jc w:val="both"/>
        <w:rPr>
          <w:rFonts w:ascii="Times New Roman" w:hAnsi="Times New Roman"/>
          <w:color w:val="auto"/>
          <w:sz w:val="20"/>
          <w:szCs w:val="20"/>
          <w:highlight w:val="none"/>
        </w:rPr>
      </w:pPr>
    </w:p>
    <w:p>
      <w:pPr>
        <w:pStyle w:val="43"/>
        <w:rPr>
          <w:color w:val="auto"/>
          <w:highlight w:val="none"/>
        </w:rPr>
      </w:pPr>
      <w:r>
        <w:rPr>
          <w:color w:val="auto"/>
          <w:highlight w:val="none"/>
        </w:rPr>
        <w:t>Table 7.2.3-1: 4-bit CQI Table</w:t>
      </w:r>
    </w:p>
    <w:tbl>
      <w:tblPr>
        <w:tblStyle w:val="21"/>
        <w:tblW w:w="5260" w:type="dxa"/>
        <w:jc w:val="center"/>
        <w:tblInd w:w="0" w:type="dxa"/>
        <w:tblLayout w:type="fixed"/>
        <w:tblCellMar>
          <w:top w:w="0" w:type="dxa"/>
          <w:left w:w="0" w:type="dxa"/>
          <w:bottom w:w="0" w:type="dxa"/>
          <w:right w:w="0" w:type="dxa"/>
        </w:tblCellMar>
      </w:tblPr>
      <w:tblGrid>
        <w:gridCol w:w="1155"/>
        <w:gridCol w:w="1228"/>
        <w:gridCol w:w="1761"/>
        <w:gridCol w:w="1116"/>
      </w:tblGrid>
      <w:tr>
        <w:tblPrEx>
          <w:tblLayout w:type="fixed"/>
          <w:tblCellMar>
            <w:top w:w="0" w:type="dxa"/>
            <w:left w:w="0" w:type="dxa"/>
            <w:bottom w:w="0" w:type="dxa"/>
            <w:right w:w="0" w:type="dxa"/>
          </w:tblCellMar>
        </w:tblPrEx>
        <w:trPr>
          <w:jc w:val="center"/>
        </w:trPr>
        <w:tc>
          <w:tcPr>
            <w:tcW w:w="1155" w:type="dxa"/>
            <w:tcBorders>
              <w:top w:val="single" w:color="auto" w:sz="8" w:space="0"/>
              <w:left w:val="single" w:color="auto" w:sz="8" w:space="0"/>
              <w:bottom w:val="double" w:color="auto" w:sz="4" w:space="0"/>
              <w:right w:val="single" w:color="auto" w:sz="8" w:space="0"/>
            </w:tcBorders>
            <w:shd w:val="clear" w:color="auto" w:fill="E0E0E0"/>
            <w:tcMar>
              <w:top w:w="0" w:type="dxa"/>
              <w:left w:w="108" w:type="dxa"/>
              <w:bottom w:w="0" w:type="dxa"/>
              <w:right w:w="108" w:type="dxa"/>
            </w:tcMar>
          </w:tcPr>
          <w:p>
            <w:pPr>
              <w:pStyle w:val="33"/>
              <w:rPr>
                <w:color w:val="auto"/>
                <w:highlight w:val="none"/>
              </w:rPr>
            </w:pPr>
            <w:r>
              <w:rPr>
                <w:color w:val="auto"/>
                <w:highlight w:val="none"/>
              </w:rPr>
              <w:t>CQI index</w:t>
            </w:r>
          </w:p>
        </w:tc>
        <w:tc>
          <w:tcPr>
            <w:tcW w:w="122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33"/>
              <w:rPr>
                <w:color w:val="auto"/>
                <w:highlight w:val="none"/>
              </w:rPr>
            </w:pPr>
            <w:r>
              <w:rPr>
                <w:color w:val="auto"/>
                <w:highlight w:val="none"/>
              </w:rPr>
              <w:t>modulation</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33"/>
              <w:rPr>
                <w:color w:val="auto"/>
                <w:highlight w:val="none"/>
              </w:rPr>
            </w:pPr>
            <w:r>
              <w:rPr>
                <w:color w:val="auto"/>
                <w:highlight w:val="none"/>
              </w:rPr>
              <w:t>code rate x 1024</w:t>
            </w:r>
          </w:p>
        </w:tc>
        <w:tc>
          <w:tcPr>
            <w:tcW w:w="1116"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33"/>
              <w:rPr>
                <w:color w:val="auto"/>
                <w:highlight w:val="none"/>
              </w:rPr>
            </w:pPr>
            <w:r>
              <w:rPr>
                <w:color w:val="auto"/>
                <w:highlight w:val="none"/>
              </w:rPr>
              <w:t>efficiency</w:t>
            </w:r>
          </w:p>
        </w:tc>
      </w:tr>
      <w:tr>
        <w:tblPrEx>
          <w:tblLayout w:type="fixed"/>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0</w:t>
            </w:r>
          </w:p>
        </w:tc>
        <w:tc>
          <w:tcPr>
            <w:tcW w:w="4105" w:type="dxa"/>
            <w:gridSpan w:val="3"/>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out of range</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78</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0.1523</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120</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0.2344</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193</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0.3770</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308</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0.6016</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449</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0.8770</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6</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Q</w:t>
            </w:r>
            <w:r>
              <w:rPr>
                <w:rFonts w:hint="eastAsia"/>
                <w:color w:val="auto"/>
                <w:highlight w:val="none"/>
              </w:rPr>
              <w:t>PSK</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602</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1.1758</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7</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16Q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378</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1.4766</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8</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16Q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490</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1.9141</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9</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16Q</w:t>
            </w:r>
            <w:r>
              <w:rPr>
                <w:rFonts w:hint="eastAsia"/>
                <w:color w:val="auto"/>
                <w:highlight w:val="none"/>
              </w:rPr>
              <w:t>AM</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616</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2.4063</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10</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466</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2.7305</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567</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3.3223</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666</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3.9023</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772</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4.5234</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873</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5.1152</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34"/>
              <w:rPr>
                <w:color w:val="auto"/>
                <w:highlight w:val="none"/>
              </w:rPr>
            </w:pPr>
            <w:r>
              <w:rPr>
                <w:color w:val="auto"/>
                <w:highlight w:val="none"/>
              </w:rPr>
              <w:t>15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64Q</w:t>
            </w:r>
            <w:r>
              <w:rPr>
                <w:rFonts w:hint="eastAsia"/>
                <w:color w:val="auto"/>
                <w:highlight w:val="none"/>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948</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pStyle w:val="34"/>
              <w:rPr>
                <w:color w:val="auto"/>
                <w:highlight w:val="none"/>
              </w:rPr>
            </w:pPr>
            <w:r>
              <w:rPr>
                <w:color w:val="auto"/>
                <w:highlight w:val="none"/>
              </w:rPr>
              <w:t>5.5547</w:t>
            </w:r>
          </w:p>
        </w:tc>
      </w:tr>
    </w:tbl>
    <w:p>
      <w:pPr>
        <w:rPr>
          <w:color w:val="auto"/>
          <w:highlight w:val="none"/>
        </w:rPr>
      </w:pPr>
    </w:p>
    <w:p>
      <w:pPr>
        <w:pStyle w:val="43"/>
        <w:rPr>
          <w:color w:val="auto"/>
          <w:highlight w:val="none"/>
        </w:rPr>
      </w:pPr>
      <w:r>
        <w:rPr>
          <w:color w:val="auto"/>
          <w:highlight w:val="none"/>
        </w:rPr>
        <w:t>Table 7.2.3-2: 4-bit CQI Table 2</w:t>
      </w:r>
    </w:p>
    <w:tbl>
      <w:tblPr>
        <w:tblStyle w:val="21"/>
        <w:tblW w:w="5260" w:type="dxa"/>
        <w:jc w:val="center"/>
        <w:tblInd w:w="0" w:type="dxa"/>
        <w:tblLayout w:type="fixed"/>
        <w:tblCellMar>
          <w:top w:w="0" w:type="dxa"/>
          <w:left w:w="0" w:type="dxa"/>
          <w:bottom w:w="0" w:type="dxa"/>
          <w:right w:w="0" w:type="dxa"/>
        </w:tblCellMar>
      </w:tblPr>
      <w:tblGrid>
        <w:gridCol w:w="1155"/>
        <w:gridCol w:w="1228"/>
        <w:gridCol w:w="1761"/>
        <w:gridCol w:w="1116"/>
      </w:tblGrid>
      <w:tr>
        <w:tblPrEx>
          <w:tblLayout w:type="fixed"/>
          <w:tblCellMar>
            <w:top w:w="0" w:type="dxa"/>
            <w:left w:w="0" w:type="dxa"/>
            <w:bottom w:w="0" w:type="dxa"/>
            <w:right w:w="0" w:type="dxa"/>
          </w:tblCellMar>
        </w:tblPrEx>
        <w:trPr>
          <w:jc w:val="center"/>
        </w:trPr>
        <w:tc>
          <w:tcPr>
            <w:tcW w:w="1155" w:type="dxa"/>
            <w:tcBorders>
              <w:top w:val="single" w:color="auto" w:sz="8" w:space="0"/>
              <w:left w:val="single" w:color="auto" w:sz="8" w:space="0"/>
              <w:bottom w:val="double" w:color="auto" w:sz="4" w:space="0"/>
              <w:right w:val="single" w:color="auto" w:sz="8" w:space="0"/>
            </w:tcBorders>
            <w:shd w:val="clear" w:color="auto" w:fill="E0E0E0"/>
            <w:tcMar>
              <w:top w:w="0" w:type="dxa"/>
              <w:left w:w="108" w:type="dxa"/>
              <w:bottom w:w="0" w:type="dxa"/>
              <w:right w:w="108" w:type="dxa"/>
            </w:tcMar>
          </w:tcPr>
          <w:p>
            <w:pPr>
              <w:keepNext/>
              <w:keepLines/>
              <w:spacing w:after="0"/>
              <w:jc w:val="center"/>
              <w:rPr>
                <w:rFonts w:ascii="Arial" w:hAnsi="Arial"/>
                <w:b/>
                <w:color w:val="auto"/>
                <w:sz w:val="18"/>
                <w:highlight w:val="none"/>
              </w:rPr>
            </w:pPr>
            <w:r>
              <w:rPr>
                <w:rFonts w:ascii="Arial" w:hAnsi="Arial"/>
                <w:b/>
                <w:color w:val="auto"/>
                <w:sz w:val="18"/>
                <w:highlight w:val="none"/>
              </w:rPr>
              <w:t>CQI index</w:t>
            </w:r>
          </w:p>
        </w:tc>
        <w:tc>
          <w:tcPr>
            <w:tcW w:w="122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spacing w:after="0"/>
              <w:jc w:val="center"/>
              <w:rPr>
                <w:rFonts w:ascii="Arial" w:hAnsi="Arial"/>
                <w:b/>
                <w:color w:val="auto"/>
                <w:sz w:val="18"/>
                <w:highlight w:val="none"/>
              </w:rPr>
            </w:pPr>
            <w:r>
              <w:rPr>
                <w:rFonts w:ascii="Arial" w:hAnsi="Arial"/>
                <w:b/>
                <w:color w:val="auto"/>
                <w:sz w:val="18"/>
                <w:highlight w:val="none"/>
              </w:rPr>
              <w:t>modulation</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spacing w:after="0"/>
              <w:jc w:val="center"/>
              <w:rPr>
                <w:rFonts w:ascii="Arial" w:hAnsi="Arial"/>
                <w:b/>
                <w:color w:val="auto"/>
                <w:sz w:val="18"/>
                <w:highlight w:val="none"/>
              </w:rPr>
            </w:pPr>
            <w:r>
              <w:rPr>
                <w:rFonts w:ascii="Arial" w:hAnsi="Arial"/>
                <w:b/>
                <w:color w:val="auto"/>
                <w:sz w:val="18"/>
                <w:highlight w:val="none"/>
              </w:rPr>
              <w:t>code rate x 1024</w:t>
            </w:r>
          </w:p>
        </w:tc>
        <w:tc>
          <w:tcPr>
            <w:tcW w:w="1116"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keepNext/>
              <w:keepLines/>
              <w:spacing w:after="0"/>
              <w:jc w:val="center"/>
              <w:rPr>
                <w:rFonts w:ascii="Arial" w:hAnsi="Arial"/>
                <w:b/>
                <w:color w:val="auto"/>
                <w:sz w:val="18"/>
                <w:highlight w:val="none"/>
              </w:rPr>
            </w:pPr>
            <w:r>
              <w:rPr>
                <w:rFonts w:ascii="Arial" w:hAnsi="Arial"/>
                <w:b/>
                <w:color w:val="auto"/>
                <w:sz w:val="18"/>
                <w:highlight w:val="none"/>
              </w:rPr>
              <w:t>efficiency</w:t>
            </w:r>
          </w:p>
        </w:tc>
      </w:tr>
      <w:tr>
        <w:tblPrEx>
          <w:tblLayout w:type="fixed"/>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0</w:t>
            </w:r>
          </w:p>
        </w:tc>
        <w:tc>
          <w:tcPr>
            <w:tcW w:w="4105" w:type="dxa"/>
            <w:gridSpan w:val="3"/>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out of range</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78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0.1523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193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0.3770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QPSK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449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0.8770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378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1.4766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490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1.9141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6</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16QAM </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616 </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2.4063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7</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466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2.7305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8</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567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3.3223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double" w:color="auto" w:sz="4"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9</w:t>
            </w:r>
          </w:p>
        </w:tc>
        <w:tc>
          <w:tcPr>
            <w:tcW w:w="1228"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64QAM </w:t>
            </w:r>
          </w:p>
        </w:tc>
        <w:tc>
          <w:tcPr>
            <w:tcW w:w="1761"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666 </w:t>
            </w:r>
          </w:p>
        </w:tc>
        <w:tc>
          <w:tcPr>
            <w:tcW w:w="1116" w:type="dxa"/>
            <w:tcBorders>
              <w:top w:val="nil"/>
              <w:left w:val="nil"/>
              <w:bottom w:val="double" w:color="auto" w:sz="4"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3.9023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10</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772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4.5234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64QAM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873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5.1152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711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5.5547 </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797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hint="eastAsia" w:ascii="Arial" w:hAnsi="Arial"/>
                <w:color w:val="auto"/>
                <w:sz w:val="18"/>
                <w:highlight w:val="none"/>
              </w:rPr>
              <w:t>6.2266</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885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6.91</w:t>
            </w:r>
            <w:r>
              <w:rPr>
                <w:rFonts w:hint="eastAsia" w:ascii="Arial" w:hAnsi="Arial"/>
                <w:color w:val="auto"/>
                <w:sz w:val="18"/>
                <w:highlight w:val="none"/>
              </w:rPr>
              <w:t>41</w:t>
            </w:r>
          </w:p>
        </w:tc>
      </w:tr>
      <w:tr>
        <w:tblPrEx>
          <w:tblLayout w:type="fixed"/>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15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256QAM </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948 </w:t>
            </w:r>
          </w:p>
        </w:tc>
        <w:tc>
          <w:tcPr>
            <w:tcW w:w="1116" w:type="dxa"/>
            <w:tcBorders>
              <w:top w:val="nil"/>
              <w:left w:val="nil"/>
              <w:bottom w:val="single" w:color="auto" w:sz="8" w:space="0"/>
              <w:right w:val="single" w:color="auto" w:sz="8" w:space="0"/>
            </w:tcBorders>
            <w:tcMar>
              <w:top w:w="0" w:type="dxa"/>
              <w:left w:w="108" w:type="dxa"/>
              <w:bottom w:w="0" w:type="dxa"/>
              <w:right w:w="108" w:type="dxa"/>
            </w:tcMar>
          </w:tcPr>
          <w:p>
            <w:pPr>
              <w:keepNext/>
              <w:keepLines/>
              <w:spacing w:after="0"/>
              <w:jc w:val="center"/>
              <w:rPr>
                <w:rFonts w:ascii="Arial" w:hAnsi="Arial"/>
                <w:color w:val="auto"/>
                <w:sz w:val="18"/>
                <w:highlight w:val="none"/>
              </w:rPr>
            </w:pPr>
            <w:r>
              <w:rPr>
                <w:rFonts w:ascii="Arial" w:hAnsi="Arial"/>
                <w:color w:val="auto"/>
                <w:sz w:val="18"/>
                <w:highlight w:val="none"/>
              </w:rPr>
              <w:t xml:space="preserve">7.4063 </w:t>
            </w:r>
          </w:p>
        </w:tc>
      </w:tr>
    </w:tbl>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We copy the MCS tables for PDSCH below from LTE for reference:</w:t>
      </w:r>
    </w:p>
    <w:p>
      <w:pPr>
        <w:spacing w:before="120" w:after="0" w:line="240" w:lineRule="auto"/>
        <w:jc w:val="both"/>
        <w:rPr>
          <w:rFonts w:ascii="Times New Roman" w:hAnsi="Times New Roman"/>
          <w:color w:val="auto"/>
          <w:sz w:val="20"/>
          <w:szCs w:val="20"/>
          <w:highlight w:val="none"/>
        </w:rPr>
      </w:pPr>
    </w:p>
    <w:p>
      <w:pPr>
        <w:pStyle w:val="43"/>
        <w:rPr>
          <w:color w:val="auto"/>
          <w:highlight w:val="none"/>
        </w:rPr>
      </w:pPr>
      <w:r>
        <w:rPr>
          <w:color w:val="auto"/>
          <w:highlight w:val="none"/>
        </w:rPr>
        <w:t>Table 7.1.7.1-1: Modulation and TBS index table for PDSCH</w:t>
      </w:r>
    </w:p>
    <w:tbl>
      <w:tblPr>
        <w:tblStyle w:val="21"/>
        <w:tblW w:w="5666" w:type="dxa"/>
        <w:tblInd w:w="2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716"/>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bottom w:val="double" w:color="auto" w:sz="4" w:space="0"/>
              <w:right w:val="double" w:color="auto" w:sz="4" w:space="0"/>
            </w:tcBorders>
            <w:shd w:val="clear" w:color="auto" w:fill="E0E0E0"/>
            <w:vAlign w:val="center"/>
          </w:tcPr>
          <w:p>
            <w:pPr>
              <w:pStyle w:val="33"/>
              <w:rPr>
                <w:bCs/>
                <w:color w:val="auto"/>
                <w:highlight w:val="none"/>
                <w:lang w:val="en-US"/>
              </w:rPr>
            </w:pPr>
            <w:r>
              <w:rPr>
                <w:bCs/>
                <w:color w:val="auto"/>
                <w:highlight w:val="none"/>
                <w:lang w:val="en-US"/>
              </w:rPr>
              <w:t>MCS Index</w:t>
            </w:r>
            <w:r>
              <w:rPr>
                <w:bCs/>
                <w:color w:val="auto"/>
                <w:highlight w:val="none"/>
                <w:lang w:val="en-US"/>
              </w:rPr>
              <w:br w:type="textWrapping"/>
            </w:r>
            <w:r>
              <w:rPr>
                <w:color w:val="auto"/>
                <w:highlight w:val="none"/>
              </w:rPr>
              <w:object>
                <v:shape id="_x0000_i1043" o:spt="75" type="#_x0000_t75" style="height:16.65pt;width:21.5pt;" o:ole="t"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35">
                  <o:LockedField>false</o:LockedField>
                </o:OLEObject>
              </w:object>
            </w:r>
          </w:p>
        </w:tc>
        <w:tc>
          <w:tcPr>
            <w:tcW w:w="1716" w:type="dxa"/>
            <w:tcBorders>
              <w:left w:val="double" w:color="auto" w:sz="4" w:space="0"/>
              <w:bottom w:val="double" w:color="auto" w:sz="4" w:space="0"/>
            </w:tcBorders>
            <w:shd w:val="clear" w:color="auto" w:fill="E0E0E0"/>
            <w:vAlign w:val="center"/>
          </w:tcPr>
          <w:p>
            <w:pPr>
              <w:pStyle w:val="33"/>
              <w:rPr>
                <w:bCs/>
                <w:color w:val="auto"/>
                <w:highlight w:val="none"/>
                <w:lang w:val="en-US"/>
              </w:rPr>
            </w:pPr>
            <w:r>
              <w:rPr>
                <w:bCs/>
                <w:color w:val="auto"/>
                <w:highlight w:val="none"/>
                <w:lang w:val="en-US"/>
              </w:rPr>
              <w:t>Modulation Order</w:t>
            </w:r>
            <w:r>
              <w:rPr>
                <w:bCs/>
                <w:color w:val="auto"/>
                <w:highlight w:val="none"/>
                <w:lang w:val="en-US"/>
              </w:rPr>
              <w:br w:type="textWrapping"/>
            </w:r>
            <w:r>
              <w:rPr>
                <w:bCs/>
                <w:color w:val="auto"/>
                <w:highlight w:val="none"/>
                <w:lang w:val="pt-BR"/>
              </w:rPr>
              <w:object>
                <v:shape id="_x0000_i1044" o:spt="75" type="#_x0000_t75" style="height:15.05pt;width:16.1pt;" o:ole="t"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6">
                  <o:LockedField>false</o:LockedField>
                </o:OLEObject>
              </w:object>
            </w:r>
          </w:p>
        </w:tc>
        <w:tc>
          <w:tcPr>
            <w:tcW w:w="1716" w:type="dxa"/>
            <w:tcBorders>
              <w:bottom w:val="double" w:color="auto" w:sz="4" w:space="0"/>
            </w:tcBorders>
            <w:shd w:val="clear" w:color="auto" w:fill="E0E0E0"/>
            <w:vAlign w:val="center"/>
          </w:tcPr>
          <w:p>
            <w:pPr>
              <w:pStyle w:val="33"/>
              <w:rPr>
                <w:bCs/>
                <w:color w:val="auto"/>
                <w:highlight w:val="none"/>
                <w:lang w:val="en-US"/>
              </w:rPr>
            </w:pPr>
            <w:r>
              <w:rPr>
                <w:bCs/>
                <w:color w:val="auto"/>
                <w:highlight w:val="none"/>
                <w:lang w:val="en-US"/>
              </w:rPr>
              <w:t>Modulation Order</w:t>
            </w:r>
            <w:r>
              <w:rPr>
                <w:bCs/>
                <w:color w:val="auto"/>
                <w:highlight w:val="none"/>
                <w:lang w:val="en-US"/>
              </w:rPr>
              <w:br w:type="textWrapping"/>
            </w:r>
            <w:r>
              <w:rPr>
                <w:bCs/>
                <w:color w:val="auto"/>
                <w:position w:val="-12"/>
                <w:highlight w:val="none"/>
                <w:lang w:val="pt-BR"/>
              </w:rPr>
              <w:object>
                <v:shape id="_x0000_i1045" o:spt="75" type="#_x0000_t75" style="height:15.05pt;width:14.5pt;" o:ole="t" filled="f" o:preferrelative="t" stroked="f" coordsize="21600,21600">
                  <v:path/>
                  <v:fill on="f" focussize="0,0"/>
                  <v:stroke on="f" joinstyle="miter"/>
                  <v:imagedata r:id="rId38" o:title=""/>
                  <o:lock v:ext="edit" aspectratio="t"/>
                  <w10:wrap type="none"/>
                  <w10:anchorlock/>
                </v:shape>
                <o:OLEObject Type="Embed" ProgID="Equation.3" ShapeID="_x0000_i1045" DrawAspect="Content" ObjectID="_1468075745" r:id="rId37">
                  <o:LockedField>false</o:LockedField>
                </o:OLEObject>
              </w:object>
            </w:r>
          </w:p>
        </w:tc>
        <w:tc>
          <w:tcPr>
            <w:tcW w:w="1097" w:type="dxa"/>
            <w:tcBorders>
              <w:bottom w:val="double" w:color="auto" w:sz="4" w:space="0"/>
            </w:tcBorders>
            <w:shd w:val="clear" w:color="auto" w:fill="E0E0E0"/>
            <w:vAlign w:val="center"/>
          </w:tcPr>
          <w:p>
            <w:pPr>
              <w:pStyle w:val="33"/>
              <w:rPr>
                <w:bCs/>
                <w:color w:val="auto"/>
                <w:highlight w:val="none"/>
                <w:lang w:val="en-US"/>
              </w:rPr>
            </w:pPr>
            <w:r>
              <w:rPr>
                <w:bCs/>
                <w:color w:val="auto"/>
                <w:highlight w:val="none"/>
                <w:lang w:val="en-US"/>
              </w:rPr>
              <w:t>TBS Index</w:t>
            </w:r>
            <w:r>
              <w:rPr>
                <w:bCs/>
                <w:color w:val="auto"/>
                <w:highlight w:val="none"/>
                <w:lang w:val="en-US"/>
              </w:rPr>
              <w:br w:type="textWrapping"/>
            </w:r>
            <w:r>
              <w:rPr>
                <w:color w:val="auto"/>
                <w:highlight w:val="none"/>
              </w:rPr>
              <w:object>
                <v:shape id="_x0000_i1046" o:spt="75" type="#_x0000_t75" style="height:16.65pt;width:19.9pt;" o:ole="t" filled="f" o:preferrelative="t" stroked="f" coordsize="21600,21600">
                  <v:path/>
                  <v:fill on="f" focussize="0,0"/>
                  <v:stroke on="f" joinstyle="miter"/>
                  <v:imagedata r:id="rId13" o:title=""/>
                  <o:lock v:ext="edit" aspectratio="t"/>
                  <w10:wrap type="none"/>
                  <w10:anchorlock/>
                </v:shape>
                <o:OLEObject Type="Embed" ProgID="Equation.3" ShapeID="_x0000_i1046" DrawAspect="Content" ObjectID="_1468075746" r:id="rId3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top w:val="double" w:color="auto" w:sz="4" w:space="0"/>
              <w:right w:val="double" w:color="auto" w:sz="4" w:space="0"/>
            </w:tcBorders>
            <w:shd w:val="clear" w:color="auto" w:fill="auto"/>
            <w:vAlign w:val="center"/>
          </w:tcPr>
          <w:p>
            <w:pPr>
              <w:pStyle w:val="34"/>
              <w:rPr>
                <w:b/>
                <w:color w:val="auto"/>
                <w:highlight w:val="none"/>
                <w:lang w:val="en-US"/>
              </w:rPr>
            </w:pPr>
            <w:r>
              <w:rPr>
                <w:b/>
                <w:color w:val="auto"/>
                <w:highlight w:val="none"/>
                <w:lang w:val="en-US"/>
              </w:rPr>
              <w:t>0</w:t>
            </w:r>
          </w:p>
        </w:tc>
        <w:tc>
          <w:tcPr>
            <w:tcW w:w="1716" w:type="dxa"/>
            <w:tcBorders>
              <w:top w:val="double" w:color="auto" w:sz="4" w:space="0"/>
              <w:left w:val="double" w:color="auto" w:sz="4" w:space="0"/>
            </w:tcBorders>
            <w:vAlign w:val="center"/>
          </w:tcPr>
          <w:p>
            <w:pPr>
              <w:pStyle w:val="34"/>
              <w:rPr>
                <w:color w:val="auto"/>
                <w:highlight w:val="none"/>
                <w:lang w:val="en-US"/>
              </w:rPr>
            </w:pPr>
            <w:r>
              <w:rPr>
                <w:color w:val="auto"/>
                <w:highlight w:val="none"/>
                <w:lang w:val="en-US"/>
              </w:rPr>
              <w:t>2</w:t>
            </w:r>
          </w:p>
        </w:tc>
        <w:tc>
          <w:tcPr>
            <w:tcW w:w="1716" w:type="dxa"/>
            <w:tcBorders>
              <w:top w:val="double" w:color="auto" w:sz="4" w:space="0"/>
            </w:tcBorders>
          </w:tcPr>
          <w:p>
            <w:pPr>
              <w:pStyle w:val="34"/>
              <w:rPr>
                <w:color w:val="auto"/>
                <w:highlight w:val="none"/>
                <w:lang w:val="en-US"/>
              </w:rPr>
            </w:pPr>
            <w:r>
              <w:rPr>
                <w:color w:val="auto"/>
                <w:highlight w:val="none"/>
              </w:rPr>
              <w:t>2</w:t>
            </w:r>
          </w:p>
        </w:tc>
        <w:tc>
          <w:tcPr>
            <w:tcW w:w="1097" w:type="dxa"/>
            <w:tcBorders>
              <w:top w:val="double" w:color="auto" w:sz="4" w:space="0"/>
            </w:tcBorders>
            <w:vAlign w:val="center"/>
          </w:tcPr>
          <w:p>
            <w:pPr>
              <w:pStyle w:val="34"/>
              <w:rPr>
                <w:color w:val="auto"/>
                <w:highlight w:val="none"/>
                <w:lang w:val="en-US"/>
              </w:rPr>
            </w:pPr>
            <w:r>
              <w:rPr>
                <w:color w:val="auto"/>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lang w:val="en-US"/>
              </w:rPr>
            </w:pPr>
            <w:r>
              <w:rPr>
                <w:b/>
                <w:color w:val="auto"/>
                <w:highlight w:val="none"/>
                <w:lang w:val="en-US"/>
              </w:rPr>
              <w:t>1</w:t>
            </w:r>
          </w:p>
        </w:tc>
        <w:tc>
          <w:tcPr>
            <w:tcW w:w="1716" w:type="dxa"/>
            <w:tcBorders>
              <w:left w:val="double" w:color="auto" w:sz="4" w:space="0"/>
            </w:tcBorders>
            <w:vAlign w:val="center"/>
          </w:tcPr>
          <w:p>
            <w:pPr>
              <w:pStyle w:val="34"/>
              <w:rPr>
                <w:color w:val="auto"/>
                <w:highlight w:val="none"/>
                <w:lang w:val="en-US"/>
              </w:rPr>
            </w:pPr>
            <w:r>
              <w:rPr>
                <w:color w:val="auto"/>
                <w:highlight w:val="none"/>
                <w:lang w:val="en-US"/>
              </w:rPr>
              <w:t>2</w:t>
            </w:r>
          </w:p>
        </w:tc>
        <w:tc>
          <w:tcPr>
            <w:tcW w:w="1716" w:type="dxa"/>
          </w:tcPr>
          <w:p>
            <w:pPr>
              <w:pStyle w:val="34"/>
              <w:rPr>
                <w:color w:val="auto"/>
                <w:highlight w:val="none"/>
                <w:lang w:val="en-US"/>
              </w:rPr>
            </w:pPr>
            <w:r>
              <w:rPr>
                <w:color w:val="auto"/>
                <w:highlight w:val="none"/>
              </w:rPr>
              <w:t>2</w:t>
            </w:r>
          </w:p>
        </w:tc>
        <w:tc>
          <w:tcPr>
            <w:tcW w:w="1097" w:type="dxa"/>
            <w:vAlign w:val="center"/>
          </w:tcPr>
          <w:p>
            <w:pPr>
              <w:pStyle w:val="34"/>
              <w:rPr>
                <w:color w:val="auto"/>
                <w:highlight w:val="none"/>
                <w:lang w:val="en-US"/>
              </w:rPr>
            </w:pPr>
            <w:r>
              <w:rPr>
                <w:color w:val="auto"/>
                <w:highlight w:val="none"/>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2</w:t>
            </w:r>
          </w:p>
        </w:tc>
        <w:tc>
          <w:tcPr>
            <w:tcW w:w="1097" w:type="dxa"/>
            <w:vAlign w:val="center"/>
          </w:tcPr>
          <w:p>
            <w:pPr>
              <w:pStyle w:val="34"/>
              <w:rPr>
                <w:color w:val="auto"/>
                <w:highlight w:val="none"/>
              </w:rPr>
            </w:pPr>
            <w:r>
              <w:rPr>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2</w:t>
            </w:r>
          </w:p>
        </w:tc>
        <w:tc>
          <w:tcPr>
            <w:tcW w:w="1097" w:type="dxa"/>
            <w:vAlign w:val="center"/>
          </w:tcPr>
          <w:p>
            <w:pPr>
              <w:pStyle w:val="34"/>
              <w:rPr>
                <w:color w:val="auto"/>
                <w:highlight w:val="none"/>
              </w:rPr>
            </w:pPr>
            <w:r>
              <w:rPr>
                <w:color w:val="auto"/>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4</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2</w:t>
            </w:r>
          </w:p>
        </w:tc>
        <w:tc>
          <w:tcPr>
            <w:tcW w:w="1097" w:type="dxa"/>
            <w:vAlign w:val="center"/>
          </w:tcPr>
          <w:p>
            <w:pPr>
              <w:pStyle w:val="34"/>
              <w:rPr>
                <w:color w:val="auto"/>
                <w:highlight w:val="none"/>
              </w:rPr>
            </w:pPr>
            <w:r>
              <w:rPr>
                <w:color w:val="auto"/>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5</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4</w:t>
            </w:r>
          </w:p>
        </w:tc>
        <w:tc>
          <w:tcPr>
            <w:tcW w:w="1097" w:type="dxa"/>
            <w:vAlign w:val="center"/>
          </w:tcPr>
          <w:p>
            <w:pPr>
              <w:pStyle w:val="34"/>
              <w:rPr>
                <w:color w:val="auto"/>
                <w:highlight w:val="none"/>
              </w:rPr>
            </w:pPr>
            <w:r>
              <w:rPr>
                <w:color w:val="auto"/>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6</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4</w:t>
            </w:r>
          </w:p>
        </w:tc>
        <w:tc>
          <w:tcPr>
            <w:tcW w:w="1097" w:type="dxa"/>
            <w:vAlign w:val="center"/>
          </w:tcPr>
          <w:p>
            <w:pPr>
              <w:pStyle w:val="34"/>
              <w:rPr>
                <w:color w:val="auto"/>
                <w:highlight w:val="none"/>
              </w:rPr>
            </w:pPr>
            <w:r>
              <w:rPr>
                <w:color w:val="auto"/>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7</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4</w:t>
            </w:r>
          </w:p>
        </w:tc>
        <w:tc>
          <w:tcPr>
            <w:tcW w:w="1097" w:type="dxa"/>
            <w:vAlign w:val="center"/>
          </w:tcPr>
          <w:p>
            <w:pPr>
              <w:pStyle w:val="34"/>
              <w:rPr>
                <w:color w:val="auto"/>
                <w:highlight w:val="none"/>
              </w:rPr>
            </w:pPr>
            <w:r>
              <w:rPr>
                <w:color w:val="auto"/>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8</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4</w:t>
            </w:r>
          </w:p>
        </w:tc>
        <w:tc>
          <w:tcPr>
            <w:tcW w:w="1097" w:type="dxa"/>
            <w:vAlign w:val="center"/>
          </w:tcPr>
          <w:p>
            <w:pPr>
              <w:pStyle w:val="34"/>
              <w:rPr>
                <w:color w:val="auto"/>
                <w:highlight w:val="none"/>
              </w:rPr>
            </w:pPr>
            <w:r>
              <w:rPr>
                <w:color w:val="auto"/>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9</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tcPr>
          <w:p>
            <w:pPr>
              <w:pStyle w:val="34"/>
              <w:rPr>
                <w:color w:val="auto"/>
                <w:highlight w:val="none"/>
              </w:rPr>
            </w:pPr>
            <w:r>
              <w:rPr>
                <w:color w:val="auto"/>
                <w:highlight w:val="none"/>
              </w:rPr>
              <w:t>4</w:t>
            </w:r>
          </w:p>
        </w:tc>
        <w:tc>
          <w:tcPr>
            <w:tcW w:w="1097" w:type="dxa"/>
            <w:vAlign w:val="center"/>
          </w:tcPr>
          <w:p>
            <w:pPr>
              <w:pStyle w:val="34"/>
              <w:rPr>
                <w:color w:val="auto"/>
                <w:highlight w:val="none"/>
              </w:rPr>
            </w:pPr>
            <w:r>
              <w:rPr>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10</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11</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12</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13</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14</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15</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16</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17</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18</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19</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20</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21</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22</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23</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24</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25</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26</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27</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28</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tcPr>
          <w:p>
            <w:pPr>
              <w:pStyle w:val="34"/>
              <w:rPr>
                <w:color w:val="auto"/>
                <w:highlight w:val="none"/>
              </w:rPr>
            </w:pPr>
            <w:r>
              <w:rPr>
                <w:color w:val="auto"/>
                <w:highlight w:val="none"/>
              </w:rPr>
              <w:t>6</w:t>
            </w:r>
          </w:p>
        </w:tc>
        <w:tc>
          <w:tcPr>
            <w:tcW w:w="1097" w:type="dxa"/>
            <w:vAlign w:val="center"/>
          </w:tcPr>
          <w:p>
            <w:pPr>
              <w:pStyle w:val="34"/>
              <w:rPr>
                <w:color w:val="auto"/>
                <w:highlight w:val="none"/>
              </w:rPr>
            </w:pPr>
            <w:r>
              <w:rPr>
                <w:color w:val="auto"/>
                <w:highlight w:val="none"/>
              </w:rPr>
              <w:t>26</w:t>
            </w:r>
            <w:r>
              <w:rPr>
                <w:rFonts w:hint="eastAsia"/>
                <w:color w:val="auto"/>
                <w:highlight w:val="none"/>
                <w:lang w:eastAsia="zh-CN"/>
              </w:rPr>
              <w:t>/26A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29</w:t>
            </w:r>
          </w:p>
        </w:tc>
        <w:tc>
          <w:tcPr>
            <w:tcW w:w="1716" w:type="dxa"/>
            <w:tcBorders>
              <w:left w:val="double" w:color="auto" w:sz="4" w:space="0"/>
            </w:tcBorders>
            <w:vAlign w:val="center"/>
          </w:tcPr>
          <w:p>
            <w:pPr>
              <w:pStyle w:val="34"/>
              <w:rPr>
                <w:color w:val="auto"/>
                <w:highlight w:val="none"/>
              </w:rPr>
            </w:pPr>
            <w:r>
              <w:rPr>
                <w:color w:val="auto"/>
                <w:highlight w:val="none"/>
              </w:rPr>
              <w:t>2</w:t>
            </w:r>
          </w:p>
        </w:tc>
        <w:tc>
          <w:tcPr>
            <w:tcW w:w="1716" w:type="dxa"/>
            <w:vAlign w:val="center"/>
          </w:tcPr>
          <w:p>
            <w:pPr>
              <w:pStyle w:val="34"/>
              <w:rPr>
                <w:color w:val="auto"/>
                <w:highlight w:val="none"/>
              </w:rPr>
            </w:pPr>
            <w:r>
              <w:rPr>
                <w:color w:val="auto"/>
                <w:highlight w:val="none"/>
              </w:rPr>
              <w:t>2</w:t>
            </w:r>
          </w:p>
        </w:tc>
        <w:tc>
          <w:tcPr>
            <w:tcW w:w="1097" w:type="dxa"/>
            <w:vMerge w:val="restart"/>
            <w:vAlign w:val="center"/>
          </w:tcPr>
          <w:p>
            <w:pPr>
              <w:pStyle w:val="34"/>
              <w:rPr>
                <w:color w:val="auto"/>
                <w:highlight w:val="none"/>
              </w:rPr>
            </w:pPr>
            <w:r>
              <w:rPr>
                <w:color w:val="auto"/>
                <w:highlight w:val="none"/>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30</w:t>
            </w:r>
          </w:p>
        </w:tc>
        <w:tc>
          <w:tcPr>
            <w:tcW w:w="1716" w:type="dxa"/>
            <w:tcBorders>
              <w:left w:val="double" w:color="auto" w:sz="4" w:space="0"/>
            </w:tcBorders>
            <w:vAlign w:val="center"/>
          </w:tcPr>
          <w:p>
            <w:pPr>
              <w:pStyle w:val="34"/>
              <w:rPr>
                <w:color w:val="auto"/>
                <w:highlight w:val="none"/>
              </w:rPr>
            </w:pPr>
            <w:r>
              <w:rPr>
                <w:color w:val="auto"/>
                <w:highlight w:val="none"/>
              </w:rPr>
              <w:t>4</w:t>
            </w:r>
          </w:p>
        </w:tc>
        <w:tc>
          <w:tcPr>
            <w:tcW w:w="1716" w:type="dxa"/>
            <w:vAlign w:val="center"/>
          </w:tcPr>
          <w:p>
            <w:pPr>
              <w:pStyle w:val="34"/>
              <w:rPr>
                <w:color w:val="auto"/>
                <w:highlight w:val="none"/>
              </w:rPr>
            </w:pPr>
            <w:r>
              <w:rPr>
                <w:color w:val="auto"/>
                <w:highlight w:val="none"/>
              </w:rPr>
              <w:t>4</w:t>
            </w:r>
          </w:p>
        </w:tc>
        <w:tc>
          <w:tcPr>
            <w:tcW w:w="1097" w:type="dxa"/>
            <w:vMerge w:val="continue"/>
            <w:vAlign w:val="center"/>
          </w:tcPr>
          <w:p>
            <w:pPr>
              <w:pStyle w:val="34"/>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pStyle w:val="34"/>
              <w:rPr>
                <w:b/>
                <w:color w:val="auto"/>
                <w:highlight w:val="none"/>
              </w:rPr>
            </w:pPr>
            <w:r>
              <w:rPr>
                <w:b/>
                <w:color w:val="auto"/>
                <w:highlight w:val="none"/>
              </w:rPr>
              <w:t>31</w:t>
            </w:r>
          </w:p>
        </w:tc>
        <w:tc>
          <w:tcPr>
            <w:tcW w:w="1716" w:type="dxa"/>
            <w:tcBorders>
              <w:left w:val="double" w:color="auto" w:sz="4" w:space="0"/>
            </w:tcBorders>
            <w:vAlign w:val="center"/>
          </w:tcPr>
          <w:p>
            <w:pPr>
              <w:pStyle w:val="34"/>
              <w:rPr>
                <w:color w:val="auto"/>
                <w:highlight w:val="none"/>
              </w:rPr>
            </w:pPr>
            <w:r>
              <w:rPr>
                <w:color w:val="auto"/>
                <w:highlight w:val="none"/>
              </w:rPr>
              <w:t>6</w:t>
            </w:r>
          </w:p>
        </w:tc>
        <w:tc>
          <w:tcPr>
            <w:tcW w:w="1716" w:type="dxa"/>
            <w:vAlign w:val="center"/>
          </w:tcPr>
          <w:p>
            <w:pPr>
              <w:pStyle w:val="34"/>
              <w:rPr>
                <w:color w:val="auto"/>
                <w:highlight w:val="none"/>
              </w:rPr>
            </w:pPr>
            <w:r>
              <w:rPr>
                <w:color w:val="auto"/>
                <w:highlight w:val="none"/>
              </w:rPr>
              <w:t>6</w:t>
            </w:r>
          </w:p>
        </w:tc>
        <w:tc>
          <w:tcPr>
            <w:tcW w:w="1097" w:type="dxa"/>
            <w:vMerge w:val="continue"/>
            <w:vAlign w:val="center"/>
          </w:tcPr>
          <w:p>
            <w:pPr>
              <w:pStyle w:val="34"/>
              <w:rPr>
                <w:color w:val="auto"/>
                <w:highlight w:val="none"/>
              </w:rPr>
            </w:pPr>
          </w:p>
        </w:tc>
      </w:tr>
    </w:tbl>
    <w:p>
      <w:pPr>
        <w:rPr>
          <w:color w:val="auto"/>
          <w:highlight w:val="none"/>
        </w:rPr>
      </w:pPr>
    </w:p>
    <w:p>
      <w:pPr>
        <w:pStyle w:val="43"/>
        <w:rPr>
          <w:color w:val="auto"/>
          <w:highlight w:val="none"/>
        </w:rPr>
      </w:pPr>
      <w:r>
        <w:rPr>
          <w:color w:val="auto"/>
          <w:highlight w:val="none"/>
        </w:rPr>
        <w:t xml:space="preserve">Table 7.1.7.1-1A. Modulation and TBS index table </w:t>
      </w:r>
      <w:r>
        <w:rPr>
          <w:color w:val="auto"/>
          <w:highlight w:val="none"/>
          <w:lang w:val="en-US"/>
        </w:rPr>
        <w:t xml:space="preserve">2 </w:t>
      </w:r>
      <w:r>
        <w:rPr>
          <w:color w:val="auto"/>
          <w:highlight w:val="none"/>
        </w:rPr>
        <w:t>for PDSCH</w:t>
      </w:r>
    </w:p>
    <w:tbl>
      <w:tblPr>
        <w:tblStyle w:val="21"/>
        <w:tblW w:w="5726" w:type="dxa"/>
        <w:tblInd w:w="2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716"/>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137" w:type="dxa"/>
            <w:tcBorders>
              <w:bottom w:val="double" w:color="auto" w:sz="4" w:space="0"/>
              <w:right w:val="double" w:color="auto" w:sz="4" w:space="0"/>
            </w:tcBorders>
            <w:shd w:val="clear" w:color="auto" w:fill="E0E0E0"/>
            <w:vAlign w:val="center"/>
          </w:tcPr>
          <w:p>
            <w:pPr>
              <w:keepNext/>
              <w:keepLines/>
              <w:spacing w:after="0"/>
              <w:jc w:val="center"/>
              <w:rPr>
                <w:rFonts w:ascii="Arial" w:hAnsi="Arial"/>
                <w:b/>
                <w:bCs/>
                <w:color w:val="auto"/>
                <w:sz w:val="18"/>
                <w:highlight w:val="none"/>
                <w:lang w:eastAsia="en-US"/>
              </w:rPr>
            </w:pPr>
            <w:r>
              <w:rPr>
                <w:rFonts w:ascii="Arial" w:hAnsi="Arial"/>
                <w:b/>
                <w:bCs/>
                <w:color w:val="auto"/>
                <w:sz w:val="18"/>
                <w:highlight w:val="none"/>
                <w:lang w:eastAsia="en-US"/>
              </w:rPr>
              <w:t>MCS Index</w:t>
            </w:r>
            <w:r>
              <w:rPr>
                <w:rFonts w:ascii="Arial" w:hAnsi="Arial"/>
                <w:b/>
                <w:bCs/>
                <w:color w:val="auto"/>
                <w:sz w:val="18"/>
                <w:highlight w:val="none"/>
                <w:lang w:eastAsia="en-US"/>
              </w:rPr>
              <w:br w:type="textWrapping"/>
            </w:r>
            <w:r>
              <w:rPr>
                <w:rFonts w:ascii="Arial" w:hAnsi="Arial"/>
                <w:b/>
                <w:color w:val="auto"/>
                <w:position w:val="-10"/>
                <w:sz w:val="18"/>
                <w:highlight w:val="none"/>
                <w:lang w:eastAsia="en-US"/>
              </w:rPr>
              <w:object>
                <v:shape id="_x0000_i1047" o:spt="75" type="#_x0000_t75" style="height:16.65pt;width:21.5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40">
                  <o:LockedField>false</o:LockedField>
                </o:OLEObject>
              </w:object>
            </w:r>
          </w:p>
        </w:tc>
        <w:tc>
          <w:tcPr>
            <w:tcW w:w="1716" w:type="dxa"/>
            <w:tcBorders>
              <w:left w:val="double" w:color="auto" w:sz="4" w:space="0"/>
              <w:bottom w:val="double" w:color="auto" w:sz="4" w:space="0"/>
            </w:tcBorders>
            <w:shd w:val="clear" w:color="auto" w:fill="E0E0E0"/>
            <w:vAlign w:val="center"/>
          </w:tcPr>
          <w:p>
            <w:pPr>
              <w:keepNext/>
              <w:keepLines/>
              <w:spacing w:after="0"/>
              <w:jc w:val="center"/>
              <w:rPr>
                <w:rFonts w:ascii="Arial" w:hAnsi="Arial"/>
                <w:b/>
                <w:bCs/>
                <w:color w:val="auto"/>
                <w:sz w:val="18"/>
                <w:highlight w:val="none"/>
                <w:lang w:eastAsia="en-US"/>
              </w:rPr>
            </w:pPr>
            <w:r>
              <w:rPr>
                <w:rFonts w:ascii="Arial" w:hAnsi="Arial"/>
                <w:b/>
                <w:bCs/>
                <w:color w:val="auto"/>
                <w:sz w:val="18"/>
                <w:highlight w:val="none"/>
                <w:lang w:eastAsia="en-US"/>
              </w:rPr>
              <w:t>Modulation Order</w:t>
            </w:r>
            <w:r>
              <w:rPr>
                <w:rFonts w:ascii="Arial" w:hAnsi="Arial"/>
                <w:b/>
                <w:bCs/>
                <w:color w:val="auto"/>
                <w:sz w:val="18"/>
                <w:highlight w:val="none"/>
                <w:lang w:eastAsia="en-US"/>
              </w:rPr>
              <w:br w:type="textWrapping"/>
            </w:r>
            <w:r>
              <w:rPr>
                <w:rFonts w:ascii="Arial" w:hAnsi="Arial"/>
                <w:b/>
                <w:bCs/>
                <w:color w:val="auto"/>
                <w:position w:val="-10"/>
                <w:sz w:val="18"/>
                <w:highlight w:val="none"/>
                <w:lang w:val="pt-BR" w:eastAsia="en-US"/>
              </w:rPr>
              <w:object>
                <v:shape id="_x0000_i1048" o:spt="75" type="#_x0000_t75" style="height:15.05pt;width:16.1pt;" o:ole="t" filled="f" o:preferrelative="t" stroked="f" coordsize="21600,21600">
                  <v:path/>
                  <v:fill on="f" focussize="0,0"/>
                  <v:stroke on="f" joinstyle="miter"/>
                  <v:imagedata r:id="rId11" o:title=""/>
                  <o:lock v:ext="edit" aspectratio="t"/>
                  <w10:wrap type="none"/>
                  <w10:anchorlock/>
                </v:shape>
                <o:OLEObject Type="Embed" ProgID="Equation.3" ShapeID="_x0000_i1048" DrawAspect="Content" ObjectID="_1468075748" r:id="rId41">
                  <o:LockedField>false</o:LockedField>
                </o:OLEObject>
              </w:object>
            </w:r>
          </w:p>
        </w:tc>
        <w:tc>
          <w:tcPr>
            <w:tcW w:w="1716" w:type="dxa"/>
            <w:tcBorders>
              <w:bottom w:val="double" w:color="auto" w:sz="4" w:space="0"/>
            </w:tcBorders>
            <w:shd w:val="clear" w:color="auto" w:fill="E0E0E0"/>
            <w:vAlign w:val="center"/>
          </w:tcPr>
          <w:p>
            <w:pPr>
              <w:keepNext/>
              <w:keepLines/>
              <w:spacing w:after="0"/>
              <w:jc w:val="center"/>
              <w:rPr>
                <w:rFonts w:ascii="Arial" w:hAnsi="Arial"/>
                <w:b/>
                <w:bCs/>
                <w:color w:val="auto"/>
                <w:sz w:val="18"/>
                <w:highlight w:val="none"/>
                <w:lang w:eastAsia="en-US"/>
              </w:rPr>
            </w:pPr>
            <w:r>
              <w:rPr>
                <w:rFonts w:ascii="Arial" w:hAnsi="Arial"/>
                <w:b/>
                <w:bCs/>
                <w:color w:val="auto"/>
                <w:sz w:val="18"/>
                <w:highlight w:val="none"/>
                <w:lang w:eastAsia="en-US"/>
              </w:rPr>
              <w:t>Modulation Order</w:t>
            </w:r>
            <w:r>
              <w:rPr>
                <w:rFonts w:ascii="Arial" w:hAnsi="Arial"/>
                <w:b/>
                <w:bCs/>
                <w:color w:val="auto"/>
                <w:sz w:val="18"/>
                <w:highlight w:val="none"/>
                <w:lang w:eastAsia="en-US"/>
              </w:rPr>
              <w:br w:type="textWrapping"/>
            </w:r>
            <w:r>
              <w:rPr>
                <w:bCs/>
                <w:color w:val="auto"/>
                <w:position w:val="-12"/>
                <w:highlight w:val="none"/>
                <w:lang w:val="pt-BR"/>
              </w:rPr>
              <w:object>
                <v:shape id="_x0000_i1049" o:spt="75" type="#_x0000_t75" style="height:15.05pt;width:14.5pt;" o:ole="t" filled="f" o:preferrelative="t" stroked="f" coordsize="21600,21600">
                  <v:path/>
                  <v:fill on="f" focussize="0,0"/>
                  <v:stroke on="f" joinstyle="miter"/>
                  <v:imagedata r:id="rId38" o:title=""/>
                  <o:lock v:ext="edit" aspectratio="t"/>
                  <w10:wrap type="none"/>
                  <w10:anchorlock/>
                </v:shape>
                <o:OLEObject Type="Embed" ProgID="Equation.3" ShapeID="_x0000_i1049" DrawAspect="Content" ObjectID="_1468075749" r:id="rId42">
                  <o:LockedField>false</o:LockedField>
                </o:OLEObject>
              </w:object>
            </w:r>
          </w:p>
        </w:tc>
        <w:tc>
          <w:tcPr>
            <w:tcW w:w="1157" w:type="dxa"/>
            <w:tcBorders>
              <w:bottom w:val="double" w:color="auto" w:sz="4" w:space="0"/>
            </w:tcBorders>
            <w:shd w:val="clear" w:color="auto" w:fill="E0E0E0"/>
            <w:vAlign w:val="center"/>
          </w:tcPr>
          <w:p>
            <w:pPr>
              <w:keepNext/>
              <w:keepLines/>
              <w:spacing w:after="0"/>
              <w:jc w:val="center"/>
              <w:rPr>
                <w:rFonts w:ascii="Arial" w:hAnsi="Arial"/>
                <w:b/>
                <w:bCs/>
                <w:color w:val="auto"/>
                <w:sz w:val="18"/>
                <w:highlight w:val="none"/>
                <w:lang w:eastAsia="en-US"/>
              </w:rPr>
            </w:pPr>
            <w:r>
              <w:rPr>
                <w:rFonts w:ascii="Arial" w:hAnsi="Arial"/>
                <w:b/>
                <w:bCs/>
                <w:color w:val="auto"/>
                <w:sz w:val="18"/>
                <w:highlight w:val="none"/>
                <w:lang w:eastAsia="en-US"/>
              </w:rPr>
              <w:t>TBS Index</w:t>
            </w:r>
            <w:r>
              <w:rPr>
                <w:rFonts w:ascii="Arial" w:hAnsi="Arial"/>
                <w:b/>
                <w:bCs/>
                <w:color w:val="auto"/>
                <w:sz w:val="18"/>
                <w:highlight w:val="none"/>
                <w:lang w:eastAsia="en-US"/>
              </w:rPr>
              <w:br w:type="textWrapping"/>
            </w:r>
            <w:r>
              <w:rPr>
                <w:rFonts w:ascii="Arial" w:hAnsi="Arial"/>
                <w:b/>
                <w:color w:val="auto"/>
                <w:position w:val="-10"/>
                <w:sz w:val="18"/>
                <w:highlight w:val="none"/>
                <w:lang w:eastAsia="en-US"/>
              </w:rPr>
              <w:object>
                <v:shape id="_x0000_i1050" o:spt="75" type="#_x0000_t75" style="height:16.65pt;width:19.9pt;" o:ole="t"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top w:val="double" w:color="auto" w:sz="4" w:space="0"/>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0</w:t>
            </w:r>
          </w:p>
        </w:tc>
        <w:tc>
          <w:tcPr>
            <w:tcW w:w="1716" w:type="dxa"/>
            <w:tcBorders>
              <w:top w:val="double" w:color="auto" w:sz="4" w:space="0"/>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tcBorders>
              <w:top w:val="double" w:color="auto" w:sz="4" w:space="0"/>
            </w:tcBorders>
          </w:tcPr>
          <w:p>
            <w:pPr>
              <w:keepLines/>
              <w:spacing w:before="40" w:after="40"/>
              <w:jc w:val="center"/>
              <w:rPr>
                <w:rFonts w:ascii="Arial" w:hAnsi="Arial" w:cs="Arial"/>
                <w:color w:val="auto"/>
                <w:sz w:val="18"/>
                <w:szCs w:val="18"/>
                <w:highlight w:val="none"/>
                <w:lang w:eastAsia="en-US"/>
              </w:rPr>
            </w:pPr>
            <w:r>
              <w:rPr>
                <w:color w:val="auto"/>
                <w:highlight w:val="none"/>
              </w:rPr>
              <w:t>2</w:t>
            </w:r>
          </w:p>
        </w:tc>
        <w:tc>
          <w:tcPr>
            <w:tcW w:w="1157" w:type="dxa"/>
            <w:tcBorders>
              <w:top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2</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2</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3</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4</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4</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4</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5</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6</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6</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6</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7</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6</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6</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9</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6</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10</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4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11</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12</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13</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14</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15</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16</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17</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19</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6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20</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21</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22</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23</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24</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25</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26</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27</w:t>
            </w:r>
          </w:p>
        </w:tc>
        <w:tc>
          <w:tcPr>
            <w:tcW w:w="1716" w:type="dxa"/>
            <w:tcBorders>
              <w:left w:val="double" w:color="auto" w:sz="4" w:space="0"/>
            </w:tcBorders>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8 </w:t>
            </w:r>
          </w:p>
        </w:tc>
        <w:tc>
          <w:tcPr>
            <w:tcW w:w="1716" w:type="dxa"/>
          </w:tcPr>
          <w:p>
            <w:pPr>
              <w:keepLines/>
              <w:spacing w:before="40" w:after="40"/>
              <w:jc w:val="center"/>
              <w:rPr>
                <w:rFonts w:ascii="Arial" w:hAnsi="Arial" w:cs="Arial"/>
                <w:color w:val="auto"/>
                <w:sz w:val="18"/>
                <w:szCs w:val="18"/>
                <w:highlight w:val="none"/>
                <w:lang w:eastAsia="en-US"/>
              </w:rPr>
            </w:pPr>
            <w:r>
              <w:rPr>
                <w:color w:val="auto"/>
                <w:highlight w:val="none"/>
              </w:rPr>
              <w:t>8</w:t>
            </w:r>
          </w:p>
        </w:tc>
        <w:tc>
          <w:tcPr>
            <w:tcW w:w="1157" w:type="dxa"/>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33</w:t>
            </w:r>
            <w:r>
              <w:rPr>
                <w:rFonts w:hint="eastAsia" w:ascii="Arial" w:hAnsi="Arial" w:cs="Arial"/>
                <w:color w:val="auto"/>
                <w:sz w:val="18"/>
                <w:szCs w:val="18"/>
                <w:highlight w:val="none"/>
              </w:rPr>
              <w:t>/33A</w:t>
            </w:r>
            <w:r>
              <w:rPr>
                <w:rFonts w:ascii="Arial" w:hAnsi="Arial" w:cs="Arial"/>
                <w:color w:val="auto"/>
                <w:sz w:val="18"/>
                <w:szCs w:val="18"/>
                <w:highlight w:val="none"/>
              </w:rPr>
              <w:t>/33B</w:t>
            </w:r>
            <w:r>
              <w:rPr>
                <w:rFonts w:ascii="Arial" w:hAnsi="Arial" w:cs="Arial"/>
                <w:color w:val="auto"/>
                <w:sz w:val="18"/>
                <w:szCs w:val="18"/>
                <w:highlight w:val="none"/>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rFonts w:ascii="Arial" w:hAnsi="Arial" w:cs="Arial"/>
                <w:b/>
                <w:color w:val="auto"/>
                <w:sz w:val="18"/>
                <w:szCs w:val="18"/>
                <w:highlight w:val="none"/>
                <w:lang w:eastAsia="en-US"/>
              </w:rPr>
            </w:pPr>
            <w:r>
              <w:rPr>
                <w:rFonts w:ascii="Arial" w:hAnsi="Arial" w:cs="Arial"/>
                <w:b/>
                <w:color w:val="auto"/>
                <w:sz w:val="18"/>
                <w:szCs w:val="18"/>
                <w:highlight w:val="none"/>
                <w:lang w:eastAsia="en-US"/>
              </w:rPr>
              <w:t>28</w:t>
            </w:r>
          </w:p>
        </w:tc>
        <w:tc>
          <w:tcPr>
            <w:tcW w:w="1716" w:type="dxa"/>
            <w:tcBorders>
              <w:left w:val="double" w:color="auto" w:sz="4" w:space="0"/>
            </w:tcBorders>
            <w:vAlign w:val="center"/>
          </w:tcPr>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 xml:space="preserve">2 </w:t>
            </w:r>
          </w:p>
        </w:tc>
        <w:tc>
          <w:tcPr>
            <w:tcW w:w="1716" w:type="dxa"/>
            <w:vAlign w:val="center"/>
          </w:tcPr>
          <w:p>
            <w:pPr>
              <w:keepLines/>
              <w:spacing w:before="40" w:after="40"/>
              <w:jc w:val="center"/>
              <w:rPr>
                <w:rFonts w:ascii="Arial" w:hAnsi="Arial" w:cs="Arial"/>
                <w:color w:val="auto"/>
                <w:sz w:val="18"/>
                <w:szCs w:val="18"/>
                <w:highlight w:val="none"/>
              </w:rPr>
            </w:pPr>
            <w:r>
              <w:rPr>
                <w:rFonts w:ascii="Arial" w:hAnsi="Arial" w:cs="Arial"/>
                <w:color w:val="auto"/>
                <w:sz w:val="18"/>
                <w:szCs w:val="18"/>
                <w:highlight w:val="none"/>
                <w:lang w:eastAsia="en-US"/>
              </w:rPr>
              <w:t xml:space="preserve">2 </w:t>
            </w:r>
          </w:p>
        </w:tc>
        <w:tc>
          <w:tcPr>
            <w:tcW w:w="1157" w:type="dxa"/>
            <w:vMerge w:val="restart"/>
            <w:vAlign w:val="center"/>
          </w:tcPr>
          <w:p>
            <w:pPr>
              <w:keepLines/>
              <w:spacing w:before="40" w:after="40"/>
              <w:jc w:val="center"/>
              <w:rPr>
                <w:rFonts w:ascii="Arial" w:hAnsi="Arial" w:cs="Arial"/>
                <w:color w:val="auto"/>
                <w:sz w:val="18"/>
                <w:szCs w:val="18"/>
                <w:highlight w:val="none"/>
              </w:rPr>
            </w:pPr>
          </w:p>
          <w:p>
            <w:pPr>
              <w:keepLines/>
              <w:spacing w:before="40" w:after="40"/>
              <w:jc w:val="center"/>
              <w:rPr>
                <w:rFonts w:ascii="Arial" w:hAnsi="Arial" w:cs="Arial"/>
                <w:color w:val="auto"/>
                <w:sz w:val="18"/>
                <w:szCs w:val="18"/>
                <w:highlight w:val="none"/>
                <w:lang w:eastAsia="en-US"/>
              </w:rPr>
            </w:pPr>
            <w:r>
              <w:rPr>
                <w:rFonts w:ascii="Arial" w:hAnsi="Arial" w:cs="Arial"/>
                <w:color w:val="auto"/>
                <w:sz w:val="18"/>
                <w:szCs w:val="18"/>
                <w:highlight w:val="none"/>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29</w:t>
            </w:r>
          </w:p>
        </w:tc>
        <w:tc>
          <w:tcPr>
            <w:tcW w:w="1716" w:type="dxa"/>
            <w:tcBorders>
              <w:left w:val="double" w:color="auto" w:sz="4" w:space="0"/>
            </w:tcBorders>
          </w:tcPr>
          <w:p>
            <w:pPr>
              <w:keepLines/>
              <w:spacing w:before="40" w:after="40"/>
              <w:jc w:val="center"/>
              <w:rPr>
                <w:color w:val="auto"/>
                <w:highlight w:val="none"/>
                <w:lang w:eastAsia="en-US"/>
              </w:rPr>
            </w:pPr>
            <w:r>
              <w:rPr>
                <w:color w:val="auto"/>
                <w:highlight w:val="none"/>
                <w:lang w:eastAsia="en-US"/>
              </w:rPr>
              <w:t xml:space="preserve">4 </w:t>
            </w:r>
          </w:p>
        </w:tc>
        <w:tc>
          <w:tcPr>
            <w:tcW w:w="1716" w:type="dxa"/>
          </w:tcPr>
          <w:p>
            <w:pPr>
              <w:keepLines/>
              <w:spacing w:before="40" w:after="40"/>
              <w:jc w:val="center"/>
              <w:rPr>
                <w:color w:val="auto"/>
                <w:highlight w:val="none"/>
                <w:lang w:eastAsia="en-US"/>
              </w:rPr>
            </w:pPr>
            <w:r>
              <w:rPr>
                <w:color w:val="auto"/>
                <w:highlight w:val="none"/>
                <w:lang w:eastAsia="en-US"/>
              </w:rPr>
              <w:t xml:space="preserve">4 </w:t>
            </w:r>
          </w:p>
        </w:tc>
        <w:tc>
          <w:tcPr>
            <w:tcW w:w="1157" w:type="dxa"/>
            <w:vMerge w:val="continue"/>
            <w:vAlign w:val="center"/>
          </w:tcPr>
          <w:p>
            <w:pPr>
              <w:keepLines/>
              <w:spacing w:before="40" w:after="40"/>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30</w:t>
            </w:r>
          </w:p>
        </w:tc>
        <w:tc>
          <w:tcPr>
            <w:tcW w:w="1716" w:type="dxa"/>
            <w:tcBorders>
              <w:left w:val="double" w:color="auto" w:sz="4" w:space="0"/>
            </w:tcBorders>
            <w:vAlign w:val="center"/>
          </w:tcPr>
          <w:p>
            <w:pPr>
              <w:keepLines/>
              <w:spacing w:before="40" w:after="40"/>
              <w:jc w:val="center"/>
              <w:rPr>
                <w:color w:val="auto"/>
                <w:highlight w:val="none"/>
                <w:lang w:eastAsia="en-US"/>
              </w:rPr>
            </w:pPr>
            <w:r>
              <w:rPr>
                <w:color w:val="auto"/>
                <w:highlight w:val="none"/>
                <w:lang w:eastAsia="en-US"/>
              </w:rPr>
              <w:t xml:space="preserve">6 </w:t>
            </w:r>
          </w:p>
        </w:tc>
        <w:tc>
          <w:tcPr>
            <w:tcW w:w="1716" w:type="dxa"/>
            <w:vAlign w:val="center"/>
          </w:tcPr>
          <w:p>
            <w:pPr>
              <w:keepLines/>
              <w:spacing w:before="40" w:after="40"/>
              <w:jc w:val="center"/>
              <w:rPr>
                <w:color w:val="auto"/>
                <w:highlight w:val="none"/>
                <w:lang w:eastAsia="en-US"/>
              </w:rPr>
            </w:pPr>
            <w:r>
              <w:rPr>
                <w:color w:val="auto"/>
                <w:highlight w:val="none"/>
                <w:lang w:eastAsia="en-US"/>
              </w:rPr>
              <w:t xml:space="preserve">6 </w:t>
            </w:r>
          </w:p>
        </w:tc>
        <w:tc>
          <w:tcPr>
            <w:tcW w:w="1157" w:type="dxa"/>
            <w:vMerge w:val="continue"/>
            <w:vAlign w:val="center"/>
          </w:tcPr>
          <w:p>
            <w:pPr>
              <w:keepLines/>
              <w:spacing w:before="40" w:after="40"/>
              <w:jc w:val="center"/>
              <w:rPr>
                <w:color w:val="auto"/>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7" w:type="dxa"/>
            <w:tcBorders>
              <w:right w:val="double" w:color="auto" w:sz="4" w:space="0"/>
            </w:tcBorders>
            <w:shd w:val="clear" w:color="auto" w:fill="auto"/>
            <w:vAlign w:val="center"/>
          </w:tcPr>
          <w:p>
            <w:pPr>
              <w:keepLines/>
              <w:spacing w:before="40" w:after="40"/>
              <w:jc w:val="center"/>
              <w:rPr>
                <w:b/>
                <w:color w:val="auto"/>
                <w:highlight w:val="none"/>
                <w:lang w:eastAsia="en-US"/>
              </w:rPr>
            </w:pPr>
            <w:r>
              <w:rPr>
                <w:b/>
                <w:color w:val="auto"/>
                <w:highlight w:val="none"/>
                <w:lang w:eastAsia="en-US"/>
              </w:rPr>
              <w:t>31</w:t>
            </w:r>
          </w:p>
        </w:tc>
        <w:tc>
          <w:tcPr>
            <w:tcW w:w="1716" w:type="dxa"/>
            <w:tcBorders>
              <w:left w:val="double" w:color="auto" w:sz="4" w:space="0"/>
            </w:tcBorders>
            <w:vAlign w:val="center"/>
          </w:tcPr>
          <w:p>
            <w:pPr>
              <w:keepLines/>
              <w:spacing w:before="40" w:after="40"/>
              <w:jc w:val="center"/>
              <w:rPr>
                <w:color w:val="auto"/>
                <w:highlight w:val="none"/>
                <w:lang w:eastAsia="en-US"/>
              </w:rPr>
            </w:pPr>
            <w:r>
              <w:rPr>
                <w:color w:val="auto"/>
                <w:highlight w:val="none"/>
                <w:lang w:eastAsia="en-US"/>
              </w:rPr>
              <w:t xml:space="preserve">8 </w:t>
            </w:r>
          </w:p>
        </w:tc>
        <w:tc>
          <w:tcPr>
            <w:tcW w:w="1716" w:type="dxa"/>
            <w:vAlign w:val="center"/>
          </w:tcPr>
          <w:p>
            <w:pPr>
              <w:keepLines/>
              <w:spacing w:before="40" w:after="40"/>
              <w:jc w:val="center"/>
              <w:rPr>
                <w:color w:val="auto"/>
                <w:highlight w:val="none"/>
                <w:lang w:eastAsia="en-US"/>
              </w:rPr>
            </w:pPr>
            <w:r>
              <w:rPr>
                <w:color w:val="auto"/>
                <w:highlight w:val="none"/>
                <w:lang w:eastAsia="en-US"/>
              </w:rPr>
              <w:t xml:space="preserve">8 </w:t>
            </w:r>
          </w:p>
        </w:tc>
        <w:tc>
          <w:tcPr>
            <w:tcW w:w="1157" w:type="dxa"/>
            <w:vMerge w:val="continue"/>
            <w:vAlign w:val="center"/>
          </w:tcPr>
          <w:p>
            <w:pPr>
              <w:keepLines/>
              <w:spacing w:before="40" w:after="40"/>
              <w:jc w:val="center"/>
              <w:rPr>
                <w:color w:val="auto"/>
                <w:highlight w:val="none"/>
                <w:lang w:eastAsia="en-US"/>
              </w:rPr>
            </w:pPr>
          </w:p>
        </w:tc>
      </w:tr>
    </w:tbl>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r>
        <w:rPr>
          <w:rFonts w:hint="eastAsia" w:ascii="Times New Roman" w:hAnsi="Times New Roman"/>
          <w:color w:val="auto"/>
          <w:sz w:val="20"/>
          <w:szCs w:val="20"/>
          <w:highlight w:val="none"/>
        </w:rPr>
        <w:t>We copy the MCS tables for PUSCH below from LTE for reference:</w:t>
      </w:r>
    </w:p>
    <w:p>
      <w:pPr>
        <w:pStyle w:val="43"/>
        <w:rPr>
          <w:color w:val="auto"/>
          <w:highlight w:val="none"/>
        </w:rPr>
      </w:pPr>
      <w:r>
        <w:rPr>
          <w:color w:val="auto"/>
          <w:highlight w:val="none"/>
        </w:rPr>
        <w:t>Table 8.6.1-1: Modulation, TBS index and redundancy version table for PUSCH</w:t>
      </w:r>
    </w:p>
    <w:tbl>
      <w:tblPr>
        <w:tblStyle w:val="21"/>
        <w:tblW w:w="59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097"/>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single" w:color="auto" w:sz="4" w:space="0"/>
              <w:bottom w:val="double" w:color="auto" w:sz="4" w:space="0"/>
              <w:right w:val="double" w:color="auto" w:sz="4" w:space="0"/>
            </w:tcBorders>
            <w:shd w:val="clear" w:color="auto" w:fill="E0E0E0"/>
            <w:vAlign w:val="center"/>
          </w:tcPr>
          <w:p>
            <w:pPr>
              <w:pStyle w:val="33"/>
              <w:rPr>
                <w:bCs/>
                <w:color w:val="auto"/>
                <w:highlight w:val="none"/>
                <w:lang w:val="en-US"/>
              </w:rPr>
            </w:pPr>
            <w:r>
              <w:rPr>
                <w:bCs/>
                <w:color w:val="auto"/>
                <w:highlight w:val="none"/>
                <w:lang w:val="en-US"/>
              </w:rPr>
              <w:t>MCS Index</w:t>
            </w:r>
            <w:r>
              <w:rPr>
                <w:bCs/>
                <w:color w:val="auto"/>
                <w:highlight w:val="none"/>
                <w:lang w:val="en-US"/>
              </w:rPr>
              <w:br w:type="textWrapping"/>
            </w:r>
            <w:r>
              <w:rPr>
                <w:color w:val="auto"/>
                <w:position w:val="-10"/>
                <w:highlight w:val="none"/>
                <w:lang w:val="en-US" w:eastAsia="zh-CN"/>
              </w:rPr>
              <w:drawing>
                <wp:inline distT="0" distB="0" distL="114300" distR="114300">
                  <wp:extent cx="276225" cy="212725"/>
                  <wp:effectExtent l="0" t="0" r="8890" b="17145"/>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9" cstate="print"/>
                          <a:stretch>
                            <a:fillRect/>
                          </a:stretch>
                        </pic:blipFill>
                        <pic:spPr>
                          <a:xfrm>
                            <a:off x="0" y="0"/>
                            <a:ext cx="276225" cy="212725"/>
                          </a:xfrm>
                          <a:prstGeom prst="rect">
                            <a:avLst/>
                          </a:prstGeom>
                          <a:noFill/>
                          <a:ln w="9525">
                            <a:noFill/>
                          </a:ln>
                        </pic:spPr>
                      </pic:pic>
                    </a:graphicData>
                  </a:graphic>
                </wp:inline>
              </w:drawing>
            </w:r>
          </w:p>
        </w:tc>
        <w:tc>
          <w:tcPr>
            <w:tcW w:w="1716" w:type="dxa"/>
            <w:tcBorders>
              <w:top w:val="single" w:color="auto" w:sz="4" w:space="0"/>
              <w:bottom w:val="double" w:color="auto" w:sz="4" w:space="0"/>
            </w:tcBorders>
            <w:shd w:val="clear" w:color="auto" w:fill="E0E0E0"/>
            <w:vAlign w:val="center"/>
          </w:tcPr>
          <w:p>
            <w:pPr>
              <w:pStyle w:val="33"/>
              <w:rPr>
                <w:bCs/>
                <w:color w:val="auto"/>
                <w:highlight w:val="none"/>
                <w:lang w:val="en-US"/>
              </w:rPr>
            </w:pPr>
            <w:r>
              <w:rPr>
                <w:bCs/>
                <w:color w:val="auto"/>
                <w:highlight w:val="none"/>
                <w:lang w:val="en-US"/>
              </w:rPr>
              <w:t>Modulation Order</w:t>
            </w:r>
            <w:r>
              <w:rPr>
                <w:bCs/>
                <w:color w:val="auto"/>
                <w:highlight w:val="none"/>
                <w:lang w:val="en-US"/>
              </w:rPr>
              <w:br w:type="textWrapping"/>
            </w:r>
            <w:r>
              <w:rPr>
                <w:bCs/>
                <w:color w:val="auto"/>
                <w:position w:val="-10"/>
                <w:highlight w:val="none"/>
                <w:lang w:val="en-US" w:eastAsia="zh-CN"/>
              </w:rPr>
              <w:drawing>
                <wp:inline distT="0" distB="0" distL="114300" distR="114300">
                  <wp:extent cx="201930" cy="212725"/>
                  <wp:effectExtent l="0" t="0" r="0" b="1651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9"/>
                          <pic:cNvPicPr>
                            <a:picLocks noChangeAspect="1"/>
                          </pic:cNvPicPr>
                        </pic:nvPicPr>
                        <pic:blipFill>
                          <a:blip r:embed="rId44" cstate="print"/>
                          <a:stretch>
                            <a:fillRect/>
                          </a:stretch>
                        </pic:blipFill>
                        <pic:spPr>
                          <a:xfrm>
                            <a:off x="0" y="0"/>
                            <a:ext cx="201930" cy="212725"/>
                          </a:xfrm>
                          <a:prstGeom prst="rect">
                            <a:avLst/>
                          </a:prstGeom>
                          <a:noFill/>
                          <a:ln w="9525">
                            <a:noFill/>
                          </a:ln>
                        </pic:spPr>
                      </pic:pic>
                    </a:graphicData>
                  </a:graphic>
                </wp:inline>
              </w:drawing>
            </w:r>
          </w:p>
        </w:tc>
        <w:tc>
          <w:tcPr>
            <w:tcW w:w="1097" w:type="dxa"/>
            <w:tcBorders>
              <w:top w:val="single" w:color="auto" w:sz="4" w:space="0"/>
              <w:bottom w:val="double" w:color="auto" w:sz="4" w:space="0"/>
              <w:right w:val="single" w:color="auto" w:sz="4" w:space="0"/>
            </w:tcBorders>
            <w:shd w:val="clear" w:color="auto" w:fill="E0E0E0"/>
            <w:vAlign w:val="center"/>
          </w:tcPr>
          <w:p>
            <w:pPr>
              <w:pStyle w:val="33"/>
              <w:rPr>
                <w:bCs/>
                <w:color w:val="auto"/>
                <w:highlight w:val="none"/>
                <w:lang w:val="en-US"/>
              </w:rPr>
            </w:pPr>
            <w:r>
              <w:rPr>
                <w:bCs/>
                <w:color w:val="auto"/>
                <w:highlight w:val="none"/>
                <w:lang w:val="en-US"/>
              </w:rPr>
              <w:t>TBS Index</w:t>
            </w:r>
            <w:r>
              <w:rPr>
                <w:bCs/>
                <w:color w:val="auto"/>
                <w:highlight w:val="none"/>
                <w:lang w:val="en-US"/>
              </w:rPr>
              <w:br w:type="textWrapping"/>
            </w:r>
            <w:r>
              <w:rPr>
                <w:color w:val="auto"/>
                <w:position w:val="-10"/>
                <w:highlight w:val="none"/>
                <w:lang w:val="en-US" w:eastAsia="zh-CN"/>
              </w:rPr>
              <w:drawing>
                <wp:inline distT="0" distB="0" distL="114300" distR="114300">
                  <wp:extent cx="255270" cy="212725"/>
                  <wp:effectExtent l="0" t="0" r="11430" b="17145"/>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13" cstate="print"/>
                          <a:stretch>
                            <a:fillRect/>
                          </a:stretch>
                        </pic:blipFill>
                        <pic:spPr>
                          <a:xfrm>
                            <a:off x="0" y="0"/>
                            <a:ext cx="255270" cy="212725"/>
                          </a:xfrm>
                          <a:prstGeom prst="rect">
                            <a:avLst/>
                          </a:prstGeom>
                          <a:noFill/>
                          <a:ln w="9525">
                            <a:noFill/>
                          </a:ln>
                        </pic:spPr>
                      </pic:pic>
                    </a:graphicData>
                  </a:graphic>
                </wp:inline>
              </w:drawing>
            </w:r>
          </w:p>
        </w:tc>
        <w:tc>
          <w:tcPr>
            <w:tcW w:w="2007" w:type="dxa"/>
            <w:tcBorders>
              <w:top w:val="single" w:color="auto" w:sz="4" w:space="0"/>
              <w:bottom w:val="double" w:color="auto" w:sz="4" w:space="0"/>
              <w:right w:val="single" w:color="auto" w:sz="4" w:space="0"/>
            </w:tcBorders>
            <w:shd w:val="clear" w:color="auto" w:fill="E0E0E0"/>
            <w:vAlign w:val="center"/>
          </w:tcPr>
          <w:p>
            <w:pPr>
              <w:pStyle w:val="33"/>
              <w:rPr>
                <w:bCs/>
                <w:color w:val="auto"/>
                <w:highlight w:val="none"/>
                <w:lang w:val="en-US"/>
              </w:rPr>
            </w:pPr>
            <w:r>
              <w:rPr>
                <w:bCs/>
                <w:color w:val="auto"/>
                <w:highlight w:val="none"/>
                <w:lang w:val="en-US"/>
              </w:rPr>
              <w:t>Redundancy Version</w:t>
            </w:r>
            <w:r>
              <w:rPr>
                <w:bCs/>
                <w:color w:val="auto"/>
                <w:highlight w:val="none"/>
                <w:lang w:val="en-US"/>
              </w:rPr>
              <w:br w:type="textWrapping"/>
            </w:r>
            <w:r>
              <w:rPr>
                <w:i/>
                <w:color w:val="auto"/>
                <w:highlight w:val="none"/>
              </w:rPr>
              <w:t>rv</w:t>
            </w:r>
            <w:r>
              <w:rPr>
                <w:i/>
                <w:color w:val="auto"/>
                <w:highlight w:val="none"/>
                <w:vertAlign w:val="subscript"/>
              </w:rPr>
              <w:t>idx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vAlign w:val="center"/>
          </w:tcPr>
          <w:p>
            <w:pPr>
              <w:pStyle w:val="34"/>
              <w:rPr>
                <w:color w:val="auto"/>
                <w:highlight w:val="none"/>
              </w:rPr>
            </w:pPr>
            <w:r>
              <w:rPr>
                <w:color w:val="auto"/>
                <w:highlight w:val="none"/>
              </w:rPr>
              <w:t>0</w:t>
            </w:r>
          </w:p>
        </w:tc>
        <w:tc>
          <w:tcPr>
            <w:tcW w:w="1716" w:type="dxa"/>
            <w:tcBorders>
              <w:top w:val="double" w:color="auto" w:sz="4" w:space="0"/>
            </w:tcBorders>
            <w:vAlign w:val="center"/>
          </w:tcPr>
          <w:p>
            <w:pPr>
              <w:pStyle w:val="34"/>
              <w:rPr>
                <w:color w:val="auto"/>
                <w:highlight w:val="none"/>
              </w:rPr>
            </w:pPr>
            <w:r>
              <w:rPr>
                <w:color w:val="auto"/>
                <w:highlight w:val="none"/>
              </w:rPr>
              <w:t>2</w:t>
            </w:r>
          </w:p>
        </w:tc>
        <w:tc>
          <w:tcPr>
            <w:tcW w:w="1097" w:type="dxa"/>
            <w:tcBorders>
              <w:top w:val="double" w:color="auto" w:sz="4" w:space="0"/>
              <w:right w:val="single" w:color="auto" w:sz="4" w:space="0"/>
            </w:tcBorders>
            <w:vAlign w:val="center"/>
          </w:tcPr>
          <w:p>
            <w:pPr>
              <w:pStyle w:val="34"/>
              <w:rPr>
                <w:color w:val="auto"/>
                <w:highlight w:val="none"/>
              </w:rPr>
            </w:pPr>
            <w:r>
              <w:rPr>
                <w:color w:val="auto"/>
                <w:highlight w:val="none"/>
              </w:rPr>
              <w:t>0</w:t>
            </w:r>
          </w:p>
        </w:tc>
        <w:tc>
          <w:tcPr>
            <w:tcW w:w="2007" w:type="dxa"/>
            <w:tcBorders>
              <w:top w:val="doub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1</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3</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4</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4</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5</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5</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6</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6</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7</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7</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8</w:t>
            </w:r>
          </w:p>
        </w:tc>
        <w:tc>
          <w:tcPr>
            <w:tcW w:w="1716" w:type="dxa"/>
            <w:tcBorders>
              <w:bottom w:val="single" w:color="auto" w:sz="4" w:space="0"/>
            </w:tcBorders>
            <w:vAlign w:val="center"/>
          </w:tcPr>
          <w:p>
            <w:pPr>
              <w:pStyle w:val="34"/>
              <w:rPr>
                <w:color w:val="auto"/>
                <w:highlight w:val="none"/>
              </w:rPr>
            </w:pPr>
            <w:r>
              <w:rPr>
                <w:color w:val="auto"/>
                <w:highlight w:val="none"/>
              </w:rPr>
              <w:t>2</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8</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9</w:t>
            </w:r>
          </w:p>
        </w:tc>
        <w:tc>
          <w:tcPr>
            <w:tcW w:w="1716" w:type="dxa"/>
            <w:tcBorders>
              <w:bottom w:val="single" w:color="auto" w:sz="4" w:space="0"/>
            </w:tcBorders>
            <w:vAlign w:val="center"/>
          </w:tcPr>
          <w:p>
            <w:pPr>
              <w:pStyle w:val="34"/>
              <w:rPr>
                <w:color w:val="auto"/>
                <w:highlight w:val="none"/>
              </w:rPr>
            </w:pPr>
            <w:r>
              <w:rPr>
                <w:color w:val="auto"/>
                <w:highlight w:val="none"/>
              </w:rPr>
              <w:t>2</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9</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10</w:t>
            </w:r>
          </w:p>
        </w:tc>
        <w:tc>
          <w:tcPr>
            <w:tcW w:w="1716" w:type="dxa"/>
            <w:tcBorders>
              <w:bottom w:val="single" w:color="auto" w:sz="4" w:space="0"/>
            </w:tcBorders>
            <w:vAlign w:val="center"/>
          </w:tcPr>
          <w:p>
            <w:pPr>
              <w:pStyle w:val="34"/>
              <w:rPr>
                <w:color w:val="auto"/>
                <w:highlight w:val="none"/>
              </w:rPr>
            </w:pPr>
            <w:r>
              <w:rPr>
                <w:color w:val="auto"/>
                <w:highlight w:val="none"/>
              </w:rPr>
              <w:t>2</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10</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11</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10</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12</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11</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13</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14</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13</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15</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14</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16</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15</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17</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16</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18</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17</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19</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18</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20</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19</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21</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19</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22</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20</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23</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21</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24</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25</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23</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26</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24</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27</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25</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28</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26</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29</w:t>
            </w:r>
          </w:p>
        </w:tc>
        <w:tc>
          <w:tcPr>
            <w:tcW w:w="2813" w:type="dxa"/>
            <w:gridSpan w:val="2"/>
            <w:vMerge w:val="restart"/>
            <w:tcBorders>
              <w:right w:val="single" w:color="auto" w:sz="4" w:space="0"/>
            </w:tcBorders>
            <w:vAlign w:val="center"/>
          </w:tcPr>
          <w:p>
            <w:pPr>
              <w:pStyle w:val="34"/>
              <w:rPr>
                <w:color w:val="auto"/>
                <w:highlight w:val="none"/>
              </w:rPr>
            </w:pPr>
            <w:r>
              <w:rPr>
                <w:color w:val="auto"/>
                <w:highlight w:val="none"/>
              </w:rPr>
              <w:t>reserved</w:t>
            </w:r>
          </w:p>
        </w:tc>
        <w:tc>
          <w:tcPr>
            <w:tcW w:w="2007" w:type="dxa"/>
            <w:tcBorders>
              <w:right w:val="single" w:color="auto" w:sz="4" w:space="0"/>
            </w:tcBorders>
            <w:vAlign w:val="center"/>
          </w:tcPr>
          <w:p>
            <w:pPr>
              <w:pStyle w:val="34"/>
              <w:rPr>
                <w:color w:val="auto"/>
                <w:highlight w:val="none"/>
              </w:rPr>
            </w:pPr>
            <w:r>
              <w:rPr>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30</w:t>
            </w:r>
          </w:p>
        </w:tc>
        <w:tc>
          <w:tcPr>
            <w:tcW w:w="2813" w:type="dxa"/>
            <w:gridSpan w:val="2"/>
            <w:vMerge w:val="continue"/>
            <w:tcBorders>
              <w:right w:val="single" w:color="auto" w:sz="4" w:space="0"/>
            </w:tcBorders>
            <w:vAlign w:val="center"/>
          </w:tcPr>
          <w:p>
            <w:pPr>
              <w:pStyle w:val="34"/>
              <w:rPr>
                <w:color w:val="auto"/>
                <w:highlight w:val="none"/>
              </w:rPr>
            </w:pPr>
          </w:p>
        </w:tc>
        <w:tc>
          <w:tcPr>
            <w:tcW w:w="2007" w:type="dxa"/>
            <w:tcBorders>
              <w:right w:val="single" w:color="auto" w:sz="4" w:space="0"/>
            </w:tcBorders>
            <w:vAlign w:val="center"/>
          </w:tcPr>
          <w:p>
            <w:pPr>
              <w:pStyle w:val="34"/>
              <w:rPr>
                <w:color w:val="auto"/>
                <w:highlight w:val="none"/>
              </w:rPr>
            </w:pPr>
            <w:r>
              <w:rPr>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31</w:t>
            </w:r>
          </w:p>
        </w:tc>
        <w:tc>
          <w:tcPr>
            <w:tcW w:w="2813" w:type="dxa"/>
            <w:gridSpan w:val="2"/>
            <w:vMerge w:val="continue"/>
            <w:tcBorders>
              <w:right w:val="single" w:color="auto" w:sz="4" w:space="0"/>
            </w:tcBorders>
            <w:vAlign w:val="center"/>
          </w:tcPr>
          <w:p>
            <w:pPr>
              <w:pStyle w:val="34"/>
              <w:rPr>
                <w:color w:val="auto"/>
                <w:highlight w:val="none"/>
              </w:rPr>
            </w:pPr>
          </w:p>
        </w:tc>
        <w:tc>
          <w:tcPr>
            <w:tcW w:w="2007" w:type="dxa"/>
            <w:tcBorders>
              <w:right w:val="single" w:color="auto" w:sz="4" w:space="0"/>
            </w:tcBorders>
            <w:vAlign w:val="center"/>
          </w:tcPr>
          <w:p>
            <w:pPr>
              <w:pStyle w:val="34"/>
              <w:rPr>
                <w:color w:val="auto"/>
                <w:highlight w:val="none"/>
              </w:rPr>
            </w:pPr>
            <w:r>
              <w:rPr>
                <w:color w:val="auto"/>
                <w:highlight w:val="none"/>
              </w:rPr>
              <w:t>3</w:t>
            </w:r>
          </w:p>
        </w:tc>
      </w:tr>
    </w:tbl>
    <w:p>
      <w:pPr>
        <w:pStyle w:val="43"/>
        <w:rPr>
          <w:color w:val="auto"/>
          <w:highlight w:val="none"/>
        </w:rPr>
      </w:pPr>
      <w:r>
        <w:rPr>
          <w:color w:val="auto"/>
          <w:highlight w:val="none"/>
        </w:rPr>
        <w:t>Table 8.6.1-3: Modulation, TBS index and redundancy version table for PUSCH</w:t>
      </w:r>
    </w:p>
    <w:tbl>
      <w:tblPr>
        <w:tblStyle w:val="21"/>
        <w:tblW w:w="59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1716"/>
        <w:gridCol w:w="1097"/>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single" w:color="auto" w:sz="4" w:space="0"/>
              <w:bottom w:val="double" w:color="auto" w:sz="4" w:space="0"/>
              <w:right w:val="double" w:color="auto" w:sz="4" w:space="0"/>
            </w:tcBorders>
            <w:shd w:val="clear" w:color="auto" w:fill="E0E0E0"/>
            <w:vAlign w:val="center"/>
          </w:tcPr>
          <w:p>
            <w:pPr>
              <w:pStyle w:val="33"/>
              <w:rPr>
                <w:bCs/>
                <w:color w:val="auto"/>
                <w:highlight w:val="none"/>
                <w:lang w:val="en-US"/>
              </w:rPr>
            </w:pPr>
            <w:r>
              <w:rPr>
                <w:bCs/>
                <w:color w:val="auto"/>
                <w:highlight w:val="none"/>
                <w:lang w:val="en-US"/>
              </w:rPr>
              <w:t>MCS Index</w:t>
            </w:r>
            <w:r>
              <w:rPr>
                <w:bCs/>
                <w:color w:val="auto"/>
                <w:highlight w:val="none"/>
                <w:lang w:val="en-US"/>
              </w:rPr>
              <w:br w:type="textWrapping"/>
            </w:r>
            <w:r>
              <w:rPr>
                <w:color w:val="auto"/>
                <w:position w:val="-10"/>
                <w:highlight w:val="none"/>
                <w:lang w:val="en-US" w:eastAsia="zh-CN"/>
              </w:rPr>
              <w:drawing>
                <wp:inline distT="0" distB="0" distL="114300" distR="114300">
                  <wp:extent cx="276225" cy="212725"/>
                  <wp:effectExtent l="0" t="0" r="8890" b="17145"/>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9" cstate="print"/>
                          <a:stretch>
                            <a:fillRect/>
                          </a:stretch>
                        </pic:blipFill>
                        <pic:spPr>
                          <a:xfrm>
                            <a:off x="0" y="0"/>
                            <a:ext cx="276225" cy="212725"/>
                          </a:xfrm>
                          <a:prstGeom prst="rect">
                            <a:avLst/>
                          </a:prstGeom>
                          <a:noFill/>
                          <a:ln w="9525">
                            <a:noFill/>
                          </a:ln>
                        </pic:spPr>
                      </pic:pic>
                    </a:graphicData>
                  </a:graphic>
                </wp:inline>
              </w:drawing>
            </w:r>
          </w:p>
        </w:tc>
        <w:tc>
          <w:tcPr>
            <w:tcW w:w="1716" w:type="dxa"/>
            <w:tcBorders>
              <w:top w:val="single" w:color="auto" w:sz="4" w:space="0"/>
              <w:bottom w:val="double" w:color="auto" w:sz="4" w:space="0"/>
            </w:tcBorders>
            <w:shd w:val="clear" w:color="auto" w:fill="E0E0E0"/>
            <w:vAlign w:val="center"/>
          </w:tcPr>
          <w:p>
            <w:pPr>
              <w:pStyle w:val="33"/>
              <w:rPr>
                <w:bCs/>
                <w:color w:val="auto"/>
                <w:highlight w:val="none"/>
                <w:lang w:val="en-US"/>
              </w:rPr>
            </w:pPr>
            <w:r>
              <w:rPr>
                <w:bCs/>
                <w:color w:val="auto"/>
                <w:highlight w:val="none"/>
                <w:lang w:val="en-US"/>
              </w:rPr>
              <w:t>Modulation Order</w:t>
            </w:r>
            <w:r>
              <w:rPr>
                <w:bCs/>
                <w:color w:val="auto"/>
                <w:highlight w:val="none"/>
                <w:lang w:val="en-US"/>
              </w:rPr>
              <w:br w:type="textWrapping"/>
            </w:r>
            <w:r>
              <w:rPr>
                <w:bCs/>
                <w:color w:val="auto"/>
                <w:position w:val="-10"/>
                <w:highlight w:val="none"/>
                <w:lang w:val="en-US" w:eastAsia="zh-CN"/>
              </w:rPr>
              <w:drawing>
                <wp:inline distT="0" distB="0" distL="114300" distR="114300">
                  <wp:extent cx="201930" cy="212725"/>
                  <wp:effectExtent l="0" t="0" r="0" b="16510"/>
                  <wp:docPr id="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2"/>
                          <pic:cNvPicPr>
                            <a:picLocks noChangeAspect="1"/>
                          </pic:cNvPicPr>
                        </pic:nvPicPr>
                        <pic:blipFill>
                          <a:blip r:embed="rId44" cstate="print"/>
                          <a:stretch>
                            <a:fillRect/>
                          </a:stretch>
                        </pic:blipFill>
                        <pic:spPr>
                          <a:xfrm>
                            <a:off x="0" y="0"/>
                            <a:ext cx="201930" cy="212725"/>
                          </a:xfrm>
                          <a:prstGeom prst="rect">
                            <a:avLst/>
                          </a:prstGeom>
                          <a:noFill/>
                          <a:ln w="9525">
                            <a:noFill/>
                          </a:ln>
                        </pic:spPr>
                      </pic:pic>
                    </a:graphicData>
                  </a:graphic>
                </wp:inline>
              </w:drawing>
            </w:r>
          </w:p>
        </w:tc>
        <w:tc>
          <w:tcPr>
            <w:tcW w:w="1097" w:type="dxa"/>
            <w:tcBorders>
              <w:top w:val="single" w:color="auto" w:sz="4" w:space="0"/>
              <w:bottom w:val="double" w:color="auto" w:sz="4" w:space="0"/>
              <w:right w:val="single" w:color="auto" w:sz="4" w:space="0"/>
            </w:tcBorders>
            <w:shd w:val="clear" w:color="auto" w:fill="E0E0E0"/>
            <w:vAlign w:val="center"/>
          </w:tcPr>
          <w:p>
            <w:pPr>
              <w:pStyle w:val="33"/>
              <w:rPr>
                <w:bCs/>
                <w:color w:val="auto"/>
                <w:highlight w:val="none"/>
                <w:lang w:val="en-US"/>
              </w:rPr>
            </w:pPr>
            <w:r>
              <w:rPr>
                <w:bCs/>
                <w:color w:val="auto"/>
                <w:highlight w:val="none"/>
                <w:lang w:val="en-US"/>
              </w:rPr>
              <w:t>TBS Index</w:t>
            </w:r>
            <w:r>
              <w:rPr>
                <w:bCs/>
                <w:color w:val="auto"/>
                <w:highlight w:val="none"/>
                <w:lang w:val="en-US"/>
              </w:rPr>
              <w:br w:type="textWrapping"/>
            </w:r>
            <w:r>
              <w:rPr>
                <w:color w:val="auto"/>
                <w:position w:val="-10"/>
                <w:highlight w:val="none"/>
                <w:lang w:val="en-US" w:eastAsia="zh-CN"/>
              </w:rPr>
              <w:drawing>
                <wp:inline distT="0" distB="0" distL="114300" distR="114300">
                  <wp:extent cx="255270" cy="212725"/>
                  <wp:effectExtent l="0" t="0" r="11430" b="17145"/>
                  <wp:docPr id="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pic:cNvPicPr>
                            <a:picLocks noChangeAspect="1"/>
                          </pic:cNvPicPr>
                        </pic:nvPicPr>
                        <pic:blipFill>
                          <a:blip r:embed="rId13" cstate="print"/>
                          <a:stretch>
                            <a:fillRect/>
                          </a:stretch>
                        </pic:blipFill>
                        <pic:spPr>
                          <a:xfrm>
                            <a:off x="0" y="0"/>
                            <a:ext cx="255270" cy="212725"/>
                          </a:xfrm>
                          <a:prstGeom prst="rect">
                            <a:avLst/>
                          </a:prstGeom>
                          <a:noFill/>
                          <a:ln w="9525">
                            <a:noFill/>
                          </a:ln>
                        </pic:spPr>
                      </pic:pic>
                    </a:graphicData>
                  </a:graphic>
                </wp:inline>
              </w:drawing>
            </w:r>
          </w:p>
        </w:tc>
        <w:tc>
          <w:tcPr>
            <w:tcW w:w="2007" w:type="dxa"/>
            <w:tcBorders>
              <w:top w:val="single" w:color="auto" w:sz="4" w:space="0"/>
              <w:bottom w:val="double" w:color="auto" w:sz="4" w:space="0"/>
              <w:right w:val="single" w:color="auto" w:sz="4" w:space="0"/>
            </w:tcBorders>
            <w:shd w:val="clear" w:color="auto" w:fill="E0E0E0"/>
            <w:vAlign w:val="center"/>
          </w:tcPr>
          <w:p>
            <w:pPr>
              <w:pStyle w:val="33"/>
              <w:rPr>
                <w:bCs/>
                <w:color w:val="auto"/>
                <w:highlight w:val="none"/>
                <w:lang w:val="en-US"/>
              </w:rPr>
            </w:pPr>
            <w:r>
              <w:rPr>
                <w:bCs/>
                <w:color w:val="auto"/>
                <w:highlight w:val="none"/>
                <w:lang w:val="en-US"/>
              </w:rPr>
              <w:t>Redundancy Version</w:t>
            </w:r>
            <w:r>
              <w:rPr>
                <w:bCs/>
                <w:color w:val="auto"/>
                <w:highlight w:val="none"/>
                <w:lang w:val="en-US"/>
              </w:rPr>
              <w:br w:type="textWrapping"/>
            </w:r>
            <w:r>
              <w:rPr>
                <w:i/>
                <w:color w:val="auto"/>
                <w:highlight w:val="none"/>
              </w:rPr>
              <w:t>rv</w:t>
            </w:r>
            <w:r>
              <w:rPr>
                <w:i/>
                <w:color w:val="auto"/>
                <w:highlight w:val="none"/>
                <w:vertAlign w:val="subscript"/>
              </w:rPr>
              <w:t>idx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top w:val="double" w:color="auto" w:sz="4" w:space="0"/>
              <w:right w:val="double" w:color="auto" w:sz="4" w:space="0"/>
            </w:tcBorders>
            <w:vAlign w:val="center"/>
          </w:tcPr>
          <w:p>
            <w:pPr>
              <w:pStyle w:val="34"/>
              <w:rPr>
                <w:color w:val="auto"/>
                <w:highlight w:val="none"/>
              </w:rPr>
            </w:pPr>
            <w:r>
              <w:rPr>
                <w:color w:val="auto"/>
                <w:highlight w:val="none"/>
              </w:rPr>
              <w:t>0</w:t>
            </w:r>
          </w:p>
        </w:tc>
        <w:tc>
          <w:tcPr>
            <w:tcW w:w="1716" w:type="dxa"/>
            <w:tcBorders>
              <w:top w:val="double" w:color="auto" w:sz="4" w:space="0"/>
            </w:tcBorders>
            <w:vAlign w:val="center"/>
          </w:tcPr>
          <w:p>
            <w:pPr>
              <w:pStyle w:val="34"/>
              <w:rPr>
                <w:color w:val="auto"/>
                <w:highlight w:val="none"/>
              </w:rPr>
            </w:pPr>
            <w:r>
              <w:rPr>
                <w:color w:val="auto"/>
                <w:highlight w:val="none"/>
              </w:rPr>
              <w:t>2</w:t>
            </w:r>
          </w:p>
        </w:tc>
        <w:tc>
          <w:tcPr>
            <w:tcW w:w="1097" w:type="dxa"/>
            <w:tcBorders>
              <w:top w:val="double" w:color="auto" w:sz="4" w:space="0"/>
              <w:right w:val="single" w:color="auto" w:sz="4" w:space="0"/>
            </w:tcBorders>
            <w:vAlign w:val="center"/>
          </w:tcPr>
          <w:p>
            <w:pPr>
              <w:pStyle w:val="34"/>
              <w:rPr>
                <w:color w:val="auto"/>
                <w:highlight w:val="none"/>
              </w:rPr>
            </w:pPr>
            <w:r>
              <w:rPr>
                <w:color w:val="auto"/>
                <w:highlight w:val="none"/>
              </w:rPr>
              <w:t>0</w:t>
            </w:r>
          </w:p>
        </w:tc>
        <w:tc>
          <w:tcPr>
            <w:tcW w:w="2007" w:type="dxa"/>
            <w:tcBorders>
              <w:top w:val="doub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4</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6</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4</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8</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5</w:t>
            </w:r>
          </w:p>
        </w:tc>
        <w:tc>
          <w:tcPr>
            <w:tcW w:w="1716" w:type="dxa"/>
            <w:vAlign w:val="center"/>
          </w:tcPr>
          <w:p>
            <w:pPr>
              <w:pStyle w:val="34"/>
              <w:rPr>
                <w:color w:val="auto"/>
                <w:highlight w:val="none"/>
              </w:rPr>
            </w:pPr>
            <w:r>
              <w:rPr>
                <w:color w:val="auto"/>
                <w:highlight w:val="none"/>
              </w:rPr>
              <w:t>2</w:t>
            </w:r>
          </w:p>
        </w:tc>
        <w:tc>
          <w:tcPr>
            <w:tcW w:w="1097" w:type="dxa"/>
            <w:tcBorders>
              <w:right w:val="single" w:color="auto" w:sz="4" w:space="0"/>
            </w:tcBorders>
            <w:vAlign w:val="center"/>
          </w:tcPr>
          <w:p>
            <w:pPr>
              <w:pStyle w:val="34"/>
              <w:rPr>
                <w:color w:val="auto"/>
                <w:highlight w:val="none"/>
              </w:rPr>
            </w:pPr>
            <w:r>
              <w:rPr>
                <w:color w:val="auto"/>
                <w:highlight w:val="none"/>
              </w:rPr>
              <w:t>10</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6</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11</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7</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8</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13</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9</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14</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10</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16</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11</w:t>
            </w:r>
          </w:p>
        </w:tc>
        <w:tc>
          <w:tcPr>
            <w:tcW w:w="1716" w:type="dxa"/>
            <w:tcBorders>
              <w:bottom w:val="single" w:color="auto" w:sz="4" w:space="0"/>
            </w:tcBorders>
            <w:vAlign w:val="center"/>
          </w:tcPr>
          <w:p>
            <w:pPr>
              <w:pStyle w:val="34"/>
              <w:rPr>
                <w:color w:val="auto"/>
                <w:highlight w:val="none"/>
              </w:rPr>
            </w:pPr>
            <w:r>
              <w:rPr>
                <w:color w:val="auto"/>
                <w:highlight w:val="none"/>
              </w:rPr>
              <w:t>4</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17</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12</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18</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13</w:t>
            </w:r>
          </w:p>
        </w:tc>
        <w:tc>
          <w:tcPr>
            <w:tcW w:w="1716" w:type="dxa"/>
            <w:vAlign w:val="center"/>
          </w:tcPr>
          <w:p>
            <w:pPr>
              <w:pStyle w:val="34"/>
              <w:rPr>
                <w:color w:val="auto"/>
                <w:highlight w:val="none"/>
              </w:rPr>
            </w:pPr>
            <w:r>
              <w:rPr>
                <w:color w:val="auto"/>
                <w:highlight w:val="none"/>
              </w:rPr>
              <w:t>4</w:t>
            </w:r>
          </w:p>
        </w:tc>
        <w:tc>
          <w:tcPr>
            <w:tcW w:w="1097" w:type="dxa"/>
            <w:tcBorders>
              <w:right w:val="single" w:color="auto" w:sz="4" w:space="0"/>
            </w:tcBorders>
            <w:vAlign w:val="center"/>
          </w:tcPr>
          <w:p>
            <w:pPr>
              <w:pStyle w:val="34"/>
              <w:rPr>
                <w:color w:val="auto"/>
                <w:highlight w:val="none"/>
              </w:rPr>
            </w:pPr>
            <w:r>
              <w:rPr>
                <w:color w:val="auto"/>
                <w:highlight w:val="none"/>
              </w:rPr>
              <w:t>19</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14</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20</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15</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21</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16</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17</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23</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18</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24</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19</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25</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20</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27</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21</w:t>
            </w:r>
          </w:p>
        </w:tc>
        <w:tc>
          <w:tcPr>
            <w:tcW w:w="1716" w:type="dxa"/>
            <w:tcBorders>
              <w:bottom w:val="single" w:color="auto" w:sz="4" w:space="0"/>
            </w:tcBorders>
            <w:vAlign w:val="center"/>
          </w:tcPr>
          <w:p>
            <w:pPr>
              <w:pStyle w:val="34"/>
              <w:rPr>
                <w:color w:val="auto"/>
                <w:highlight w:val="none"/>
              </w:rPr>
            </w:pPr>
            <w:r>
              <w:rPr>
                <w:color w:val="auto"/>
                <w:highlight w:val="none"/>
              </w:rPr>
              <w:t>6</w:t>
            </w:r>
          </w:p>
        </w:tc>
        <w:tc>
          <w:tcPr>
            <w:tcW w:w="1097" w:type="dxa"/>
            <w:tcBorders>
              <w:bottom w:val="single" w:color="auto" w:sz="4" w:space="0"/>
              <w:right w:val="single" w:color="auto" w:sz="4" w:space="0"/>
            </w:tcBorders>
            <w:vAlign w:val="center"/>
          </w:tcPr>
          <w:p>
            <w:pPr>
              <w:pStyle w:val="34"/>
              <w:rPr>
                <w:color w:val="auto"/>
                <w:highlight w:val="none"/>
              </w:rPr>
            </w:pPr>
            <w:r>
              <w:rPr>
                <w:color w:val="auto"/>
                <w:highlight w:val="none"/>
              </w:rPr>
              <w:t>28</w:t>
            </w:r>
          </w:p>
        </w:tc>
        <w:tc>
          <w:tcPr>
            <w:tcW w:w="2007" w:type="dxa"/>
            <w:tcBorders>
              <w:bottom w:val="single" w:color="auto" w:sz="4" w:space="0"/>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22</w:t>
            </w:r>
          </w:p>
        </w:tc>
        <w:tc>
          <w:tcPr>
            <w:tcW w:w="1716" w:type="dxa"/>
            <w:vAlign w:val="center"/>
          </w:tcPr>
          <w:p>
            <w:pPr>
              <w:pStyle w:val="34"/>
              <w:rPr>
                <w:color w:val="auto"/>
                <w:highlight w:val="none"/>
              </w:rPr>
            </w:pPr>
            <w:r>
              <w:rPr>
                <w:color w:val="auto"/>
                <w:highlight w:val="none"/>
              </w:rPr>
              <w:t>6</w:t>
            </w:r>
          </w:p>
        </w:tc>
        <w:tc>
          <w:tcPr>
            <w:tcW w:w="1097" w:type="dxa"/>
            <w:tcBorders>
              <w:right w:val="single" w:color="auto" w:sz="4" w:space="0"/>
            </w:tcBorders>
            <w:vAlign w:val="center"/>
          </w:tcPr>
          <w:p>
            <w:pPr>
              <w:pStyle w:val="34"/>
              <w:rPr>
                <w:color w:val="auto"/>
                <w:highlight w:val="none"/>
              </w:rPr>
            </w:pPr>
            <w:r>
              <w:rPr>
                <w:color w:val="auto"/>
                <w:highlight w:val="none"/>
              </w:rPr>
              <w:t>29</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23</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30</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24</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31</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25</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32</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26</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32A</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27</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33</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28</w:t>
            </w:r>
          </w:p>
        </w:tc>
        <w:tc>
          <w:tcPr>
            <w:tcW w:w="1716" w:type="dxa"/>
            <w:vAlign w:val="center"/>
          </w:tcPr>
          <w:p>
            <w:pPr>
              <w:pStyle w:val="34"/>
              <w:rPr>
                <w:color w:val="auto"/>
                <w:highlight w:val="none"/>
              </w:rPr>
            </w:pPr>
            <w:r>
              <w:rPr>
                <w:color w:val="auto"/>
                <w:highlight w:val="none"/>
              </w:rPr>
              <w:t>8</w:t>
            </w:r>
          </w:p>
        </w:tc>
        <w:tc>
          <w:tcPr>
            <w:tcW w:w="1097" w:type="dxa"/>
            <w:tcBorders>
              <w:right w:val="single" w:color="auto" w:sz="4" w:space="0"/>
            </w:tcBorders>
            <w:vAlign w:val="center"/>
          </w:tcPr>
          <w:p>
            <w:pPr>
              <w:pStyle w:val="34"/>
              <w:rPr>
                <w:color w:val="auto"/>
                <w:highlight w:val="none"/>
              </w:rPr>
            </w:pPr>
            <w:r>
              <w:rPr>
                <w:color w:val="auto"/>
                <w:highlight w:val="none"/>
              </w:rPr>
              <w:t>34</w:t>
            </w:r>
          </w:p>
        </w:tc>
        <w:tc>
          <w:tcPr>
            <w:tcW w:w="2007" w:type="dxa"/>
            <w:tcBorders>
              <w:right w:val="single" w:color="auto" w:sz="4" w:space="0"/>
            </w:tcBorders>
            <w:vAlign w:val="center"/>
          </w:tcPr>
          <w:p>
            <w:pPr>
              <w:pStyle w:val="34"/>
              <w:rPr>
                <w:color w:val="auto"/>
                <w:highlight w:val="none"/>
              </w:rPr>
            </w:pPr>
            <w:r>
              <w:rPr>
                <w:color w:val="aut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29</w:t>
            </w:r>
          </w:p>
        </w:tc>
        <w:tc>
          <w:tcPr>
            <w:tcW w:w="2813" w:type="dxa"/>
            <w:gridSpan w:val="2"/>
            <w:vMerge w:val="restart"/>
            <w:tcBorders>
              <w:right w:val="single" w:color="auto" w:sz="4" w:space="0"/>
            </w:tcBorders>
            <w:vAlign w:val="center"/>
          </w:tcPr>
          <w:p>
            <w:pPr>
              <w:pStyle w:val="34"/>
              <w:rPr>
                <w:color w:val="auto"/>
                <w:highlight w:val="none"/>
              </w:rPr>
            </w:pPr>
            <w:r>
              <w:rPr>
                <w:color w:val="auto"/>
                <w:highlight w:val="none"/>
              </w:rPr>
              <w:t>reserved</w:t>
            </w:r>
          </w:p>
        </w:tc>
        <w:tc>
          <w:tcPr>
            <w:tcW w:w="2007" w:type="dxa"/>
            <w:tcBorders>
              <w:right w:val="single" w:color="auto" w:sz="4" w:space="0"/>
            </w:tcBorders>
            <w:vAlign w:val="center"/>
          </w:tcPr>
          <w:p>
            <w:pPr>
              <w:pStyle w:val="34"/>
              <w:rPr>
                <w:color w:val="auto"/>
                <w:highlight w:val="none"/>
              </w:rPr>
            </w:pPr>
            <w:r>
              <w:rPr>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30</w:t>
            </w:r>
          </w:p>
        </w:tc>
        <w:tc>
          <w:tcPr>
            <w:tcW w:w="2813" w:type="dxa"/>
            <w:gridSpan w:val="2"/>
            <w:vMerge w:val="continue"/>
            <w:tcBorders>
              <w:right w:val="single" w:color="auto" w:sz="4" w:space="0"/>
            </w:tcBorders>
            <w:vAlign w:val="center"/>
          </w:tcPr>
          <w:p>
            <w:pPr>
              <w:pStyle w:val="34"/>
              <w:rPr>
                <w:color w:val="auto"/>
                <w:highlight w:val="none"/>
              </w:rPr>
            </w:pPr>
          </w:p>
        </w:tc>
        <w:tc>
          <w:tcPr>
            <w:tcW w:w="2007" w:type="dxa"/>
            <w:tcBorders>
              <w:right w:val="single" w:color="auto" w:sz="4" w:space="0"/>
            </w:tcBorders>
            <w:vAlign w:val="center"/>
          </w:tcPr>
          <w:p>
            <w:pPr>
              <w:pStyle w:val="34"/>
              <w:rPr>
                <w:color w:val="auto"/>
                <w:highlight w:val="none"/>
              </w:rPr>
            </w:pPr>
            <w:r>
              <w:rPr>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37" w:type="dxa"/>
            <w:tcBorders>
              <w:right w:val="double" w:color="auto" w:sz="4" w:space="0"/>
            </w:tcBorders>
            <w:vAlign w:val="center"/>
          </w:tcPr>
          <w:p>
            <w:pPr>
              <w:pStyle w:val="34"/>
              <w:rPr>
                <w:color w:val="auto"/>
                <w:highlight w:val="none"/>
              </w:rPr>
            </w:pPr>
            <w:r>
              <w:rPr>
                <w:color w:val="auto"/>
                <w:highlight w:val="none"/>
              </w:rPr>
              <w:t>31</w:t>
            </w:r>
          </w:p>
        </w:tc>
        <w:tc>
          <w:tcPr>
            <w:tcW w:w="2813" w:type="dxa"/>
            <w:gridSpan w:val="2"/>
            <w:vMerge w:val="continue"/>
            <w:tcBorders>
              <w:right w:val="single" w:color="auto" w:sz="4" w:space="0"/>
            </w:tcBorders>
            <w:vAlign w:val="center"/>
          </w:tcPr>
          <w:p>
            <w:pPr>
              <w:pStyle w:val="34"/>
              <w:rPr>
                <w:color w:val="auto"/>
                <w:highlight w:val="none"/>
              </w:rPr>
            </w:pPr>
          </w:p>
        </w:tc>
        <w:tc>
          <w:tcPr>
            <w:tcW w:w="2007" w:type="dxa"/>
            <w:tcBorders>
              <w:right w:val="single" w:color="auto" w:sz="4" w:space="0"/>
            </w:tcBorders>
            <w:vAlign w:val="center"/>
          </w:tcPr>
          <w:p>
            <w:pPr>
              <w:pStyle w:val="34"/>
              <w:rPr>
                <w:color w:val="auto"/>
                <w:highlight w:val="none"/>
              </w:rPr>
            </w:pPr>
            <w:r>
              <w:rPr>
                <w:color w:val="auto"/>
                <w:highlight w:val="none"/>
              </w:rPr>
              <w:t>3</w:t>
            </w:r>
          </w:p>
        </w:tc>
      </w:tr>
    </w:tbl>
    <w:p>
      <w:pPr>
        <w:rPr>
          <w:color w:val="auto"/>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p>
      <w:pPr>
        <w:spacing w:before="120" w:after="0" w:line="240" w:lineRule="auto"/>
        <w:jc w:val="both"/>
        <w:rPr>
          <w:rFonts w:ascii="Times New Roman" w:hAnsi="Times New Roman"/>
          <w:color w:val="auto"/>
          <w:sz w:val="20"/>
          <w:szCs w:val="20"/>
          <w:highlight w:val="none"/>
        </w:rPr>
      </w:pP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Ericsson Capital TT">
    <w:altName w:val="Corbel"/>
    <w:panose1 w:val="00000000000000000000"/>
    <w:charset w:val="00"/>
    <w:family w:val="auto"/>
    <w:pitch w:val="default"/>
    <w:sig w:usb0="00000000" w:usb1="00000000" w:usb2="00000000" w:usb3="00000000" w:csb0="0000009F"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Helvetica">
    <w:altName w:val="Arial"/>
    <w:panose1 w:val="00000000000000000000"/>
    <w:charset w:val="00"/>
    <w:family w:val="swiss"/>
    <w:pitch w:val="default"/>
    <w:sig w:usb0="00000000" w:usb1="00000000" w:usb2="00000000"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Yu Gothic">
    <w:altName w:val="MS UI Gothic"/>
    <w:panose1 w:val="020B0400000000000000"/>
    <w:charset w:val="80"/>
    <w:family w:val="swiss"/>
    <w:pitch w:val="default"/>
    <w:sig w:usb0="00000000" w:usb1="00000000" w:usb2="00000016"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orbel">
    <w:panose1 w:val="020B0503020204020204"/>
    <w:charset w:val="00"/>
    <w:family w:val="auto"/>
    <w:pitch w:val="default"/>
    <w:sig w:usb0="A00002EF" w:usb1="4000A44B" w:usb2="00000000" w:usb3="00000000" w:csb0="2000019F" w:csb1="00000000"/>
  </w:font>
  <w:font w:name="MS UI Gothic">
    <w:panose1 w:val="020B0600070205080204"/>
    <w:charset w:val="80"/>
    <w:family w:val="auto"/>
    <w:pitch w:val="default"/>
    <w:sig w:usb0="E00002FF" w:usb1="6AC7FDFB" w:usb2="00000012" w:usb3="00000000" w:csb0="4002009F" w:csb1="DFD70000"/>
  </w:font>
  <w:font w:name="Calibri Light">
    <w:altName w:val="Calibri"/>
    <w:panose1 w:val="00000000000000000000"/>
    <w:charset w:val="00"/>
    <w:family w:val="auto"/>
    <w:pitch w:val="default"/>
    <w:sig w:usb0="00000000" w:usb1="00000000" w:usb2="00000000" w:usb3="00000000" w:csb0="00000000" w:csb1="00000000"/>
  </w:font>
  <w:font w:name="????">
    <w:altName w:val="MingLiU"/>
    <w:panose1 w:val="00000000000000000000"/>
    <w:charset w:val="88"/>
    <w:family w:val="auto"/>
    <w:pitch w:val="default"/>
    <w:sig w:usb0="00000000" w:usb1="00000000" w:usb2="00000010" w:usb3="00000000" w:csb0="00100000" w:csb1="00000000"/>
  </w:font>
  <w:font w:name="Gulim">
    <w:panose1 w:val="020B0600000101010101"/>
    <w:charset w:val="81"/>
    <w:family w:val="swiss"/>
    <w:pitch w:val="default"/>
    <w:sig w:usb0="B00002AF" w:usb1="69D77CFB" w:usb2="00000030" w:usb3="00000000" w:csb0="4008009F" w:csb1="DFD70000"/>
  </w:font>
  <w:font w:name="Times New Roman Italic">
    <w:altName w:val="Times New Roman"/>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KaiTi_GB2312">
    <w:altName w:val="宋体"/>
    <w:panose1 w:val="02010609060101010101"/>
    <w:charset w:val="86"/>
    <w:family w:val="modern"/>
    <w:pitch w:val="default"/>
    <w:sig w:usb0="00000000" w:usb1="00000000" w:usb2="00000016" w:usb3="00000000" w:csb0="00040001" w:csb1="00000000"/>
  </w:font>
  <w:font w:name="Bookman Old Style">
    <w:altName w:val="Segoe Print"/>
    <w:panose1 w:val="02050604050505020204"/>
    <w:charset w:val="00"/>
    <w:family w:val="roman"/>
    <w:pitch w:val="default"/>
    <w:sig w:usb0="00000000" w:usb1="00000000" w:usb2="00000000" w:usb3="00000000" w:csb0="0000009F" w:csb1="00000000"/>
  </w:font>
  <w:font w:name="Consolas">
    <w:panose1 w:val="020B0609020204030204"/>
    <w:charset w:val="00"/>
    <w:family w:val="modern"/>
    <w:pitch w:val="default"/>
    <w:sig w:usb0="E10002FF" w:usb1="4000FCFF" w:usb2="00000009" w:usb3="00000000" w:csb0="6000019F" w:csb1="DFD70000"/>
  </w:font>
  <w:font w:name="MingLiU">
    <w:panose1 w:val="02020509000000000000"/>
    <w:charset w:val="88"/>
    <w:family w:val="auto"/>
    <w:pitch w:val="default"/>
    <w:sig w:usb0="A00002FF" w:usb1="28CFFCFA" w:usb2="00000016" w:usb3="00000000" w:csb0="00100001" w:csb1="00000000"/>
  </w:font>
  <w:font w:name="新宋体">
    <w:panose1 w:val="02010609030101010101"/>
    <w:charset w:val="86"/>
    <w:family w:val="auto"/>
    <w:pitch w:val="default"/>
    <w:sig w:usb0="00000003" w:usb1="288F0000" w:usb2="00000006" w:usb3="00000000" w:csb0="00040001" w:csb1="00000000"/>
  </w:font>
  <w:font w:name="时尚中黑简体">
    <w:altName w:val="黑体"/>
    <w:panose1 w:val="01010104010101010101"/>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Comic Sans MS">
    <w:panose1 w:val="030F0702030302020204"/>
    <w:charset w:val="00"/>
    <w:family w:val="auto"/>
    <w:pitch w:val="default"/>
    <w:sig w:usb0="00000287" w:usb1="00000000" w:usb2="00000000" w:usb3="00000000" w:csb0="2000009F" w:csb1="00000000"/>
  </w:font>
  <w:font w:name="Cordia New">
    <w:panose1 w:val="020B0304020202020204"/>
    <w:charset w:val="00"/>
    <w:family w:val="auto"/>
    <w:pitch w:val="default"/>
    <w:sig w:usb0="81000003" w:usb1="00000000" w:usb2="00000000" w:usb3="00000000" w:csb0="00010001" w:csb1="00000000"/>
  </w:font>
  <w:font w:name="Constantia">
    <w:panose1 w:val="02030602050306030303"/>
    <w:charset w:val="00"/>
    <w:family w:val="auto"/>
    <w:pitch w:val="default"/>
    <w:sig w:usb0="A00002EF" w:usb1="4000204B" w:usb2="0000000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CG Times (WN)">
    <w:altName w:val="Arial"/>
    <w:panose1 w:val="00000000000000000000"/>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8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84"/>
      <w:lvlText w:val="[%1]"/>
      <w:lvlJc w:val="left"/>
      <w:pPr>
        <w:tabs>
          <w:tab w:val="left" w:pos="360"/>
        </w:tabs>
        <w:ind w:left="360" w:hanging="360"/>
      </w:pPr>
    </w:lvl>
  </w:abstractNum>
  <w:abstractNum w:abstractNumId="5">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A0A5FC5"/>
    <w:multiLevelType w:val="singleLevel"/>
    <w:tmpl w:val="5A0A5FC5"/>
    <w:lvl w:ilvl="0" w:tentative="0">
      <w:start w:val="1"/>
      <w:numFmt w:val="bullet"/>
      <w:lvlText w:val=""/>
      <w:lvlJc w:val="left"/>
      <w:pPr>
        <w:ind w:left="420" w:hanging="420"/>
      </w:pPr>
      <w:rPr>
        <w:rFonts w:hint="default" w:ascii="Wingdings" w:hAnsi="Wingdings"/>
      </w:rPr>
    </w:lvl>
  </w:abstractNum>
  <w:abstractNum w:abstractNumId="7">
    <w:nsid w:val="5A0C3B2C"/>
    <w:multiLevelType w:val="multilevel"/>
    <w:tmpl w:val="5A0C3B2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5A0C3BD4"/>
    <w:multiLevelType w:val="singleLevel"/>
    <w:tmpl w:val="5A0C3BD4"/>
    <w:lvl w:ilvl="0" w:tentative="0">
      <w:start w:val="1"/>
      <w:numFmt w:val="bullet"/>
      <w:lvlText w:val=""/>
      <w:lvlJc w:val="left"/>
      <w:pPr>
        <w:ind w:left="420" w:hanging="420"/>
      </w:pPr>
      <w:rPr>
        <w:rFonts w:hint="default" w:ascii="Wingdings" w:hAnsi="Wingdings"/>
      </w:rPr>
    </w:lvl>
  </w:abstractNum>
  <w:abstractNum w:abstractNumId="9">
    <w:nsid w:val="5A0C3FBA"/>
    <w:multiLevelType w:val="multilevel"/>
    <w:tmpl w:val="5A0C3FB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A0C423D"/>
    <w:multiLevelType w:val="singleLevel"/>
    <w:tmpl w:val="5A0C423D"/>
    <w:lvl w:ilvl="0" w:tentative="0">
      <w:start w:val="1"/>
      <w:numFmt w:val="bullet"/>
      <w:lvlText w:val=""/>
      <w:lvlJc w:val="left"/>
      <w:pPr>
        <w:ind w:left="420" w:hanging="420"/>
      </w:pPr>
      <w:rPr>
        <w:rFonts w:hint="default" w:ascii="Wingdings" w:hAnsi="Wingdings"/>
      </w:rPr>
    </w:lvl>
  </w:abstractNum>
  <w:abstractNum w:abstractNumId="11">
    <w:nsid w:val="5A0D76EF"/>
    <w:multiLevelType w:val="singleLevel"/>
    <w:tmpl w:val="5A0D76EF"/>
    <w:lvl w:ilvl="0" w:tentative="0">
      <w:start w:val="1"/>
      <w:numFmt w:val="bullet"/>
      <w:lvlText w:val=""/>
      <w:lvlJc w:val="left"/>
      <w:pPr>
        <w:ind w:left="420" w:hanging="420"/>
      </w:pPr>
      <w:rPr>
        <w:rFonts w:hint="default" w:ascii="Wingdings" w:hAnsi="Wingdings"/>
      </w:rPr>
    </w:lvl>
  </w:abstractNum>
  <w:abstractNum w:abstractNumId="12">
    <w:nsid w:val="5A0D7705"/>
    <w:multiLevelType w:val="singleLevel"/>
    <w:tmpl w:val="5A0D7705"/>
    <w:lvl w:ilvl="0" w:tentative="0">
      <w:start w:val="1"/>
      <w:numFmt w:val="bullet"/>
      <w:lvlText w:val=""/>
      <w:lvlJc w:val="left"/>
      <w:pPr>
        <w:ind w:left="420" w:hanging="420"/>
      </w:pPr>
      <w:rPr>
        <w:rFonts w:hint="default" w:ascii="Wingdings" w:hAnsi="Wingdings"/>
      </w:rPr>
    </w:lvl>
  </w:abstractNum>
  <w:abstractNum w:abstractNumId="13">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5">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16">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6"/>
  </w:num>
  <w:num w:numId="2">
    <w:abstractNumId w:val="3"/>
  </w:num>
  <w:num w:numId="3">
    <w:abstractNumId w:val="14"/>
  </w:num>
  <w:num w:numId="4">
    <w:abstractNumId w:val="2"/>
  </w:num>
  <w:num w:numId="5">
    <w:abstractNumId w:val="5"/>
  </w:num>
  <w:num w:numId="6">
    <w:abstractNumId w:val="15"/>
  </w:num>
  <w:num w:numId="7">
    <w:abstractNumId w:val="4"/>
  </w:num>
  <w:num w:numId="8">
    <w:abstractNumId w:val="1"/>
  </w:num>
  <w:num w:numId="9">
    <w:abstractNumId w:val="0"/>
  </w:num>
  <w:num w:numId="10">
    <w:abstractNumId w:val="13"/>
  </w:num>
  <w:num w:numId="11">
    <w:abstractNumId w:val="8"/>
  </w:num>
  <w:num w:numId="12">
    <w:abstractNumId w:val="7"/>
  </w:num>
  <w:num w:numId="13">
    <w:abstractNumId w:val="9"/>
  </w:num>
  <w:num w:numId="14">
    <w:abstractNumId w:val="10"/>
  </w:num>
  <w:num w:numId="15">
    <w:abstractNumId w:val="6"/>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172A27"/>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4BE0"/>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2BA"/>
    <w:rsid w:val="00123496"/>
    <w:rsid w:val="0012365B"/>
    <w:rsid w:val="00124F03"/>
    <w:rsid w:val="00125526"/>
    <w:rsid w:val="00125A28"/>
    <w:rsid w:val="00125AF4"/>
    <w:rsid w:val="00125D09"/>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59C"/>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2A27"/>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9C6"/>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999"/>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0E"/>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6A37"/>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DDE"/>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09F"/>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0DD"/>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295"/>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3B"/>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255"/>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78D"/>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2CF4"/>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48E"/>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56C"/>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A86"/>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39A"/>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3D17"/>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4E6"/>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353"/>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2E6"/>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10F7"/>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3E9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3675"/>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10"/>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B4D"/>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A96"/>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6B47"/>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B9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2BD"/>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2F04"/>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880"/>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05B1"/>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5F2"/>
    <w:rsid w:val="00C016C4"/>
    <w:rsid w:val="00C036B3"/>
    <w:rsid w:val="00C03759"/>
    <w:rsid w:val="00C03C17"/>
    <w:rsid w:val="00C03ECF"/>
    <w:rsid w:val="00C04999"/>
    <w:rsid w:val="00C04F87"/>
    <w:rsid w:val="00C059A1"/>
    <w:rsid w:val="00C0631D"/>
    <w:rsid w:val="00C06D78"/>
    <w:rsid w:val="00C07024"/>
    <w:rsid w:val="00C070F9"/>
    <w:rsid w:val="00C07362"/>
    <w:rsid w:val="00C07901"/>
    <w:rsid w:val="00C07946"/>
    <w:rsid w:val="00C07A37"/>
    <w:rsid w:val="00C102E1"/>
    <w:rsid w:val="00C10BD0"/>
    <w:rsid w:val="00C10D1E"/>
    <w:rsid w:val="00C120A9"/>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8C3"/>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04B"/>
    <w:rsid w:val="00CA722D"/>
    <w:rsid w:val="00CA76C8"/>
    <w:rsid w:val="00CA7972"/>
    <w:rsid w:val="00CA7BEA"/>
    <w:rsid w:val="00CA7EC6"/>
    <w:rsid w:val="00CB0105"/>
    <w:rsid w:val="00CB0922"/>
    <w:rsid w:val="00CB0CFB"/>
    <w:rsid w:val="00CB15E7"/>
    <w:rsid w:val="00CB1626"/>
    <w:rsid w:val="00CB1694"/>
    <w:rsid w:val="00CB1958"/>
    <w:rsid w:val="00CB1ADF"/>
    <w:rsid w:val="00CB1FBB"/>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6753"/>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39F"/>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0F8"/>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0B52"/>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0E0"/>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4DD"/>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B6F"/>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3C14"/>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5A5"/>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6EA"/>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2811A2"/>
    <w:rsid w:val="017F37AA"/>
    <w:rsid w:val="01867718"/>
    <w:rsid w:val="01940263"/>
    <w:rsid w:val="01B6412F"/>
    <w:rsid w:val="01CC4319"/>
    <w:rsid w:val="01F21E07"/>
    <w:rsid w:val="0200000D"/>
    <w:rsid w:val="02043798"/>
    <w:rsid w:val="02156467"/>
    <w:rsid w:val="02166435"/>
    <w:rsid w:val="022C32B4"/>
    <w:rsid w:val="023A760F"/>
    <w:rsid w:val="025D552C"/>
    <w:rsid w:val="026D0864"/>
    <w:rsid w:val="02983642"/>
    <w:rsid w:val="02A81AD7"/>
    <w:rsid w:val="02AB34DA"/>
    <w:rsid w:val="02B71F1D"/>
    <w:rsid w:val="02D143B2"/>
    <w:rsid w:val="02D254FB"/>
    <w:rsid w:val="02D304C0"/>
    <w:rsid w:val="032701C3"/>
    <w:rsid w:val="032E41D1"/>
    <w:rsid w:val="03506F90"/>
    <w:rsid w:val="039C7E88"/>
    <w:rsid w:val="03B41CB5"/>
    <w:rsid w:val="03B676C3"/>
    <w:rsid w:val="03E75A7C"/>
    <w:rsid w:val="0409477B"/>
    <w:rsid w:val="04266C61"/>
    <w:rsid w:val="042E337B"/>
    <w:rsid w:val="04323CB0"/>
    <w:rsid w:val="044B0B4F"/>
    <w:rsid w:val="04670BA9"/>
    <w:rsid w:val="0487795C"/>
    <w:rsid w:val="049E0F6B"/>
    <w:rsid w:val="04C96A5F"/>
    <w:rsid w:val="04E60D0D"/>
    <w:rsid w:val="04F309E4"/>
    <w:rsid w:val="053769AA"/>
    <w:rsid w:val="0542676C"/>
    <w:rsid w:val="05454C46"/>
    <w:rsid w:val="054C3FCF"/>
    <w:rsid w:val="055B7561"/>
    <w:rsid w:val="05612487"/>
    <w:rsid w:val="05776E8D"/>
    <w:rsid w:val="058854C6"/>
    <w:rsid w:val="058D6F86"/>
    <w:rsid w:val="05937461"/>
    <w:rsid w:val="059F696E"/>
    <w:rsid w:val="05B04886"/>
    <w:rsid w:val="05CD4F17"/>
    <w:rsid w:val="05E24AEF"/>
    <w:rsid w:val="05F862B9"/>
    <w:rsid w:val="060611AD"/>
    <w:rsid w:val="064B5CA4"/>
    <w:rsid w:val="06703508"/>
    <w:rsid w:val="067411FC"/>
    <w:rsid w:val="06B73FC8"/>
    <w:rsid w:val="06C476F1"/>
    <w:rsid w:val="06C823F5"/>
    <w:rsid w:val="06CE7E2F"/>
    <w:rsid w:val="06F45767"/>
    <w:rsid w:val="07004CDD"/>
    <w:rsid w:val="071B1554"/>
    <w:rsid w:val="071B20A6"/>
    <w:rsid w:val="076E1FF9"/>
    <w:rsid w:val="079230DA"/>
    <w:rsid w:val="07B8741C"/>
    <w:rsid w:val="07C267E9"/>
    <w:rsid w:val="07ED3D97"/>
    <w:rsid w:val="07F02AC9"/>
    <w:rsid w:val="08003014"/>
    <w:rsid w:val="080C13CB"/>
    <w:rsid w:val="08120FFC"/>
    <w:rsid w:val="08121113"/>
    <w:rsid w:val="08280D4E"/>
    <w:rsid w:val="082C5750"/>
    <w:rsid w:val="0864369E"/>
    <w:rsid w:val="087929C7"/>
    <w:rsid w:val="08811870"/>
    <w:rsid w:val="08DC1EC1"/>
    <w:rsid w:val="08E347ED"/>
    <w:rsid w:val="0913407D"/>
    <w:rsid w:val="09405BB6"/>
    <w:rsid w:val="094131BA"/>
    <w:rsid w:val="09442F11"/>
    <w:rsid w:val="09520F96"/>
    <w:rsid w:val="095A5492"/>
    <w:rsid w:val="09946AFD"/>
    <w:rsid w:val="099638C4"/>
    <w:rsid w:val="09C43B1A"/>
    <w:rsid w:val="09C91808"/>
    <w:rsid w:val="09D35384"/>
    <w:rsid w:val="09F4114D"/>
    <w:rsid w:val="0A221872"/>
    <w:rsid w:val="0A3034B6"/>
    <w:rsid w:val="0A514CD3"/>
    <w:rsid w:val="0A523F75"/>
    <w:rsid w:val="0A95792C"/>
    <w:rsid w:val="0A9A6CD6"/>
    <w:rsid w:val="0AA0150E"/>
    <w:rsid w:val="0AA3509A"/>
    <w:rsid w:val="0AAA7FA0"/>
    <w:rsid w:val="0AB473FF"/>
    <w:rsid w:val="0AF03F33"/>
    <w:rsid w:val="0AF24C59"/>
    <w:rsid w:val="0AF56ECE"/>
    <w:rsid w:val="0B3248D6"/>
    <w:rsid w:val="0B5E25C6"/>
    <w:rsid w:val="0B6370B2"/>
    <w:rsid w:val="0B7B6DB9"/>
    <w:rsid w:val="0B936311"/>
    <w:rsid w:val="0BB41A02"/>
    <w:rsid w:val="0BC47E36"/>
    <w:rsid w:val="0BCA5618"/>
    <w:rsid w:val="0BE076E9"/>
    <w:rsid w:val="0BE21A53"/>
    <w:rsid w:val="0BFC0771"/>
    <w:rsid w:val="0C0D156F"/>
    <w:rsid w:val="0C47270E"/>
    <w:rsid w:val="0C581265"/>
    <w:rsid w:val="0C5B6CB4"/>
    <w:rsid w:val="0C67747F"/>
    <w:rsid w:val="0C6F34E3"/>
    <w:rsid w:val="0CB35D99"/>
    <w:rsid w:val="0CD750ED"/>
    <w:rsid w:val="0CE202D3"/>
    <w:rsid w:val="0CE96BCF"/>
    <w:rsid w:val="0CF16D54"/>
    <w:rsid w:val="0CFE5099"/>
    <w:rsid w:val="0CFF7EBD"/>
    <w:rsid w:val="0D486F62"/>
    <w:rsid w:val="0D8B65F0"/>
    <w:rsid w:val="0DCB13EB"/>
    <w:rsid w:val="0DD62931"/>
    <w:rsid w:val="0DD65B34"/>
    <w:rsid w:val="0DDE3B62"/>
    <w:rsid w:val="0DF825CC"/>
    <w:rsid w:val="0E4E0645"/>
    <w:rsid w:val="0E7618E3"/>
    <w:rsid w:val="0EB81425"/>
    <w:rsid w:val="0F340282"/>
    <w:rsid w:val="0F646EC3"/>
    <w:rsid w:val="0F700DBD"/>
    <w:rsid w:val="0F700F02"/>
    <w:rsid w:val="0F735E7F"/>
    <w:rsid w:val="0F7929DC"/>
    <w:rsid w:val="0F9D2FAF"/>
    <w:rsid w:val="0FF127D8"/>
    <w:rsid w:val="0FF70FAB"/>
    <w:rsid w:val="103624DE"/>
    <w:rsid w:val="10375BFB"/>
    <w:rsid w:val="103C7EAE"/>
    <w:rsid w:val="104B0FF0"/>
    <w:rsid w:val="1062615E"/>
    <w:rsid w:val="10786855"/>
    <w:rsid w:val="10847E5F"/>
    <w:rsid w:val="109C336D"/>
    <w:rsid w:val="10A30985"/>
    <w:rsid w:val="10B4586A"/>
    <w:rsid w:val="10ED4B29"/>
    <w:rsid w:val="11047E83"/>
    <w:rsid w:val="1126535B"/>
    <w:rsid w:val="112C3157"/>
    <w:rsid w:val="11830BE9"/>
    <w:rsid w:val="118A26D4"/>
    <w:rsid w:val="11C91033"/>
    <w:rsid w:val="11EF471F"/>
    <w:rsid w:val="121A3FC4"/>
    <w:rsid w:val="12215FF8"/>
    <w:rsid w:val="124B3AE9"/>
    <w:rsid w:val="12BD7327"/>
    <w:rsid w:val="12D20FCF"/>
    <w:rsid w:val="12EF16F0"/>
    <w:rsid w:val="132A4672"/>
    <w:rsid w:val="137F16B5"/>
    <w:rsid w:val="1385701A"/>
    <w:rsid w:val="13903271"/>
    <w:rsid w:val="13B068AF"/>
    <w:rsid w:val="13B9635E"/>
    <w:rsid w:val="13BE11A3"/>
    <w:rsid w:val="13C27728"/>
    <w:rsid w:val="13C55093"/>
    <w:rsid w:val="13C65B2A"/>
    <w:rsid w:val="140E3D1E"/>
    <w:rsid w:val="14421259"/>
    <w:rsid w:val="144F01F4"/>
    <w:rsid w:val="145D39C5"/>
    <w:rsid w:val="146070C7"/>
    <w:rsid w:val="146D445A"/>
    <w:rsid w:val="14D278B3"/>
    <w:rsid w:val="14EF6FA9"/>
    <w:rsid w:val="150E7100"/>
    <w:rsid w:val="1526682D"/>
    <w:rsid w:val="15313B06"/>
    <w:rsid w:val="153B6CFE"/>
    <w:rsid w:val="154026B4"/>
    <w:rsid w:val="1555760C"/>
    <w:rsid w:val="157065E4"/>
    <w:rsid w:val="159E7E0F"/>
    <w:rsid w:val="15A77990"/>
    <w:rsid w:val="15AF19F0"/>
    <w:rsid w:val="15B73857"/>
    <w:rsid w:val="15C947FE"/>
    <w:rsid w:val="15D43AED"/>
    <w:rsid w:val="160D7C05"/>
    <w:rsid w:val="16104667"/>
    <w:rsid w:val="16134BCC"/>
    <w:rsid w:val="1618037A"/>
    <w:rsid w:val="161A4533"/>
    <w:rsid w:val="16514192"/>
    <w:rsid w:val="167B7654"/>
    <w:rsid w:val="167F0DF4"/>
    <w:rsid w:val="16831F8A"/>
    <w:rsid w:val="169E5539"/>
    <w:rsid w:val="16A0326B"/>
    <w:rsid w:val="16D52CDF"/>
    <w:rsid w:val="1703356F"/>
    <w:rsid w:val="17282778"/>
    <w:rsid w:val="1740662C"/>
    <w:rsid w:val="174E21F6"/>
    <w:rsid w:val="17546062"/>
    <w:rsid w:val="17833684"/>
    <w:rsid w:val="1783595F"/>
    <w:rsid w:val="17A601CB"/>
    <w:rsid w:val="17BB0AF1"/>
    <w:rsid w:val="17BD4244"/>
    <w:rsid w:val="17BE0FB5"/>
    <w:rsid w:val="17D46F56"/>
    <w:rsid w:val="17EB18C5"/>
    <w:rsid w:val="180622F2"/>
    <w:rsid w:val="181C49F6"/>
    <w:rsid w:val="182D25E0"/>
    <w:rsid w:val="1836699D"/>
    <w:rsid w:val="185A29CF"/>
    <w:rsid w:val="18681B5F"/>
    <w:rsid w:val="188D7CCA"/>
    <w:rsid w:val="18AF2C8F"/>
    <w:rsid w:val="18B80355"/>
    <w:rsid w:val="18D52731"/>
    <w:rsid w:val="18DC3B81"/>
    <w:rsid w:val="18E7623F"/>
    <w:rsid w:val="19253D86"/>
    <w:rsid w:val="19382DA1"/>
    <w:rsid w:val="193C04FC"/>
    <w:rsid w:val="1964502B"/>
    <w:rsid w:val="197E3974"/>
    <w:rsid w:val="199A2ED7"/>
    <w:rsid w:val="199B54D9"/>
    <w:rsid w:val="19AC3EF1"/>
    <w:rsid w:val="19B24AA6"/>
    <w:rsid w:val="19BF7D39"/>
    <w:rsid w:val="19CF6255"/>
    <w:rsid w:val="19F875EA"/>
    <w:rsid w:val="1A5F41A6"/>
    <w:rsid w:val="1A8B4129"/>
    <w:rsid w:val="1A8B5527"/>
    <w:rsid w:val="1AA35FF4"/>
    <w:rsid w:val="1ADA3335"/>
    <w:rsid w:val="1ADA7C88"/>
    <w:rsid w:val="1B146EB4"/>
    <w:rsid w:val="1B5C75C4"/>
    <w:rsid w:val="1B5F32D1"/>
    <w:rsid w:val="1B9E4D55"/>
    <w:rsid w:val="1BC305FA"/>
    <w:rsid w:val="1BCF5E63"/>
    <w:rsid w:val="1BDC0B16"/>
    <w:rsid w:val="1BE64C14"/>
    <w:rsid w:val="1C2510DE"/>
    <w:rsid w:val="1C255016"/>
    <w:rsid w:val="1C313AC2"/>
    <w:rsid w:val="1C3C7B57"/>
    <w:rsid w:val="1C772B13"/>
    <w:rsid w:val="1C7A564F"/>
    <w:rsid w:val="1C9255AA"/>
    <w:rsid w:val="1CA8338B"/>
    <w:rsid w:val="1CDC45BA"/>
    <w:rsid w:val="1CF71639"/>
    <w:rsid w:val="1D0F7355"/>
    <w:rsid w:val="1D21225E"/>
    <w:rsid w:val="1D2C43E9"/>
    <w:rsid w:val="1D2D0BDE"/>
    <w:rsid w:val="1D425E7A"/>
    <w:rsid w:val="1DB64D91"/>
    <w:rsid w:val="1DCF0B02"/>
    <w:rsid w:val="1DEA7521"/>
    <w:rsid w:val="1DED039D"/>
    <w:rsid w:val="1E021FAC"/>
    <w:rsid w:val="1E4D7D00"/>
    <w:rsid w:val="1E714B9B"/>
    <w:rsid w:val="1E8A04E2"/>
    <w:rsid w:val="1ECD1773"/>
    <w:rsid w:val="1ED44FE2"/>
    <w:rsid w:val="1EFC5E07"/>
    <w:rsid w:val="1EFF2D52"/>
    <w:rsid w:val="1EFF3E71"/>
    <w:rsid w:val="1EFF704D"/>
    <w:rsid w:val="1F122B80"/>
    <w:rsid w:val="1F1464BD"/>
    <w:rsid w:val="1F1A574B"/>
    <w:rsid w:val="1F690057"/>
    <w:rsid w:val="1F836F63"/>
    <w:rsid w:val="1F93334A"/>
    <w:rsid w:val="1F9F09F8"/>
    <w:rsid w:val="1FA14D4A"/>
    <w:rsid w:val="1FC16661"/>
    <w:rsid w:val="1FCD7BAB"/>
    <w:rsid w:val="1FFE7651"/>
    <w:rsid w:val="202A2A0A"/>
    <w:rsid w:val="20601D7E"/>
    <w:rsid w:val="20A713E5"/>
    <w:rsid w:val="20CD535B"/>
    <w:rsid w:val="20D75C4A"/>
    <w:rsid w:val="20E333CC"/>
    <w:rsid w:val="20E63F45"/>
    <w:rsid w:val="20ED69F1"/>
    <w:rsid w:val="20F343F7"/>
    <w:rsid w:val="21102BA8"/>
    <w:rsid w:val="212A133E"/>
    <w:rsid w:val="21304942"/>
    <w:rsid w:val="215F3790"/>
    <w:rsid w:val="2186460F"/>
    <w:rsid w:val="219D5433"/>
    <w:rsid w:val="21F65A79"/>
    <w:rsid w:val="2218405C"/>
    <w:rsid w:val="222214D0"/>
    <w:rsid w:val="2242237D"/>
    <w:rsid w:val="22536476"/>
    <w:rsid w:val="22597AA5"/>
    <w:rsid w:val="22882C80"/>
    <w:rsid w:val="228869B0"/>
    <w:rsid w:val="22950FCB"/>
    <w:rsid w:val="22BB6E71"/>
    <w:rsid w:val="22C7544E"/>
    <w:rsid w:val="22DA210C"/>
    <w:rsid w:val="22DB22D8"/>
    <w:rsid w:val="232308F7"/>
    <w:rsid w:val="23380F17"/>
    <w:rsid w:val="233B31D0"/>
    <w:rsid w:val="23455B44"/>
    <w:rsid w:val="235C5D74"/>
    <w:rsid w:val="23702CB4"/>
    <w:rsid w:val="23913088"/>
    <w:rsid w:val="23D63613"/>
    <w:rsid w:val="23DE428A"/>
    <w:rsid w:val="23E167F5"/>
    <w:rsid w:val="23E248BE"/>
    <w:rsid w:val="23E34F15"/>
    <w:rsid w:val="23E754D5"/>
    <w:rsid w:val="23F04F73"/>
    <w:rsid w:val="23F620BA"/>
    <w:rsid w:val="240062B4"/>
    <w:rsid w:val="24036739"/>
    <w:rsid w:val="24507AEB"/>
    <w:rsid w:val="246140D9"/>
    <w:rsid w:val="24663A0D"/>
    <w:rsid w:val="246F6116"/>
    <w:rsid w:val="24701CFB"/>
    <w:rsid w:val="248F267C"/>
    <w:rsid w:val="2496503B"/>
    <w:rsid w:val="24A36262"/>
    <w:rsid w:val="24E01A08"/>
    <w:rsid w:val="25030B9E"/>
    <w:rsid w:val="250A0E0A"/>
    <w:rsid w:val="252907CB"/>
    <w:rsid w:val="25386256"/>
    <w:rsid w:val="254E4E09"/>
    <w:rsid w:val="256231A2"/>
    <w:rsid w:val="25B146C8"/>
    <w:rsid w:val="25D90244"/>
    <w:rsid w:val="261C004B"/>
    <w:rsid w:val="26900DFA"/>
    <w:rsid w:val="269A4F30"/>
    <w:rsid w:val="26CA577C"/>
    <w:rsid w:val="26D32136"/>
    <w:rsid w:val="26F70A1F"/>
    <w:rsid w:val="26F97778"/>
    <w:rsid w:val="271B317D"/>
    <w:rsid w:val="27272C76"/>
    <w:rsid w:val="27413386"/>
    <w:rsid w:val="274F17EC"/>
    <w:rsid w:val="27A8204B"/>
    <w:rsid w:val="27AA0F6B"/>
    <w:rsid w:val="27D026CC"/>
    <w:rsid w:val="27E07ADB"/>
    <w:rsid w:val="27E45F4C"/>
    <w:rsid w:val="27E50482"/>
    <w:rsid w:val="27F27B4C"/>
    <w:rsid w:val="280A75A7"/>
    <w:rsid w:val="281255F8"/>
    <w:rsid w:val="28323780"/>
    <w:rsid w:val="2834027D"/>
    <w:rsid w:val="283447B6"/>
    <w:rsid w:val="28C20FF0"/>
    <w:rsid w:val="28CF26DA"/>
    <w:rsid w:val="2905056B"/>
    <w:rsid w:val="291B19F3"/>
    <w:rsid w:val="295B0BF9"/>
    <w:rsid w:val="296B3796"/>
    <w:rsid w:val="2980164D"/>
    <w:rsid w:val="29BD47E7"/>
    <w:rsid w:val="29D12F08"/>
    <w:rsid w:val="29D41018"/>
    <w:rsid w:val="29F33B9C"/>
    <w:rsid w:val="2A042289"/>
    <w:rsid w:val="2A12663F"/>
    <w:rsid w:val="2A1459B8"/>
    <w:rsid w:val="2A203CBE"/>
    <w:rsid w:val="2A3C224A"/>
    <w:rsid w:val="2A490072"/>
    <w:rsid w:val="2A6531C1"/>
    <w:rsid w:val="2AB13030"/>
    <w:rsid w:val="2AB33595"/>
    <w:rsid w:val="2AE662F9"/>
    <w:rsid w:val="2AEF704E"/>
    <w:rsid w:val="2AF62B21"/>
    <w:rsid w:val="2B1E3CBC"/>
    <w:rsid w:val="2B283305"/>
    <w:rsid w:val="2B332A83"/>
    <w:rsid w:val="2B553D20"/>
    <w:rsid w:val="2B5A336C"/>
    <w:rsid w:val="2B6527EE"/>
    <w:rsid w:val="2B670973"/>
    <w:rsid w:val="2BBA60CA"/>
    <w:rsid w:val="2BEC22E5"/>
    <w:rsid w:val="2BF62288"/>
    <w:rsid w:val="2C10641D"/>
    <w:rsid w:val="2C2F4D08"/>
    <w:rsid w:val="2C3D1D90"/>
    <w:rsid w:val="2C6F7D47"/>
    <w:rsid w:val="2C716E66"/>
    <w:rsid w:val="2C7D1B25"/>
    <w:rsid w:val="2C7F61A8"/>
    <w:rsid w:val="2C981145"/>
    <w:rsid w:val="2CBB6549"/>
    <w:rsid w:val="2CBD07C6"/>
    <w:rsid w:val="2CD27228"/>
    <w:rsid w:val="2CF97E2B"/>
    <w:rsid w:val="2D25445B"/>
    <w:rsid w:val="2D2961F0"/>
    <w:rsid w:val="2D331AC9"/>
    <w:rsid w:val="2D4E3096"/>
    <w:rsid w:val="2D7F54CE"/>
    <w:rsid w:val="2D94145D"/>
    <w:rsid w:val="2D9C1376"/>
    <w:rsid w:val="2DA75ED8"/>
    <w:rsid w:val="2DAD6F45"/>
    <w:rsid w:val="2DAF7BFD"/>
    <w:rsid w:val="2DB31F75"/>
    <w:rsid w:val="2DBD0F84"/>
    <w:rsid w:val="2DC1461C"/>
    <w:rsid w:val="2DDA0BFA"/>
    <w:rsid w:val="2E084B8B"/>
    <w:rsid w:val="2E5C1D7A"/>
    <w:rsid w:val="2E750088"/>
    <w:rsid w:val="2E876FD2"/>
    <w:rsid w:val="2E9500F1"/>
    <w:rsid w:val="2EA84469"/>
    <w:rsid w:val="2EB671AD"/>
    <w:rsid w:val="2EBB70FA"/>
    <w:rsid w:val="2EBE36D5"/>
    <w:rsid w:val="2EC42F0F"/>
    <w:rsid w:val="2ED11230"/>
    <w:rsid w:val="2EE5173D"/>
    <w:rsid w:val="2EF54BBB"/>
    <w:rsid w:val="2F127593"/>
    <w:rsid w:val="2F134D66"/>
    <w:rsid w:val="2F596045"/>
    <w:rsid w:val="2F6E40D2"/>
    <w:rsid w:val="2F7E4F2A"/>
    <w:rsid w:val="2F943854"/>
    <w:rsid w:val="2F987040"/>
    <w:rsid w:val="2FA72B31"/>
    <w:rsid w:val="2FD66263"/>
    <w:rsid w:val="2FFF663B"/>
    <w:rsid w:val="30273BCC"/>
    <w:rsid w:val="304F6096"/>
    <w:rsid w:val="30730BB4"/>
    <w:rsid w:val="309D78BC"/>
    <w:rsid w:val="30B56A70"/>
    <w:rsid w:val="30DF1C68"/>
    <w:rsid w:val="31183FFF"/>
    <w:rsid w:val="311923D8"/>
    <w:rsid w:val="316F4E07"/>
    <w:rsid w:val="318710A3"/>
    <w:rsid w:val="31AB2A7B"/>
    <w:rsid w:val="31D35682"/>
    <w:rsid w:val="31F97DF7"/>
    <w:rsid w:val="3228207B"/>
    <w:rsid w:val="322A25FD"/>
    <w:rsid w:val="322A5E0B"/>
    <w:rsid w:val="325952E0"/>
    <w:rsid w:val="325E5915"/>
    <w:rsid w:val="327C7866"/>
    <w:rsid w:val="328215B3"/>
    <w:rsid w:val="32C01A1B"/>
    <w:rsid w:val="32ED659D"/>
    <w:rsid w:val="330673DF"/>
    <w:rsid w:val="330F4EC0"/>
    <w:rsid w:val="3310605F"/>
    <w:rsid w:val="332D7452"/>
    <w:rsid w:val="33545A57"/>
    <w:rsid w:val="336B7160"/>
    <w:rsid w:val="33764AC6"/>
    <w:rsid w:val="338210C3"/>
    <w:rsid w:val="33C337A5"/>
    <w:rsid w:val="33C90942"/>
    <w:rsid w:val="340C5262"/>
    <w:rsid w:val="342051C3"/>
    <w:rsid w:val="342F7EE0"/>
    <w:rsid w:val="34597F64"/>
    <w:rsid w:val="34A04067"/>
    <w:rsid w:val="34B875CF"/>
    <w:rsid w:val="34C40C0A"/>
    <w:rsid w:val="34C901C7"/>
    <w:rsid w:val="34EF4201"/>
    <w:rsid w:val="350C21CB"/>
    <w:rsid w:val="353104BA"/>
    <w:rsid w:val="35321CAA"/>
    <w:rsid w:val="354B5AE3"/>
    <w:rsid w:val="35C37543"/>
    <w:rsid w:val="35DD7B59"/>
    <w:rsid w:val="360B4756"/>
    <w:rsid w:val="36391C9C"/>
    <w:rsid w:val="363C7FE2"/>
    <w:rsid w:val="36555CC8"/>
    <w:rsid w:val="367F194D"/>
    <w:rsid w:val="36926223"/>
    <w:rsid w:val="369579A6"/>
    <w:rsid w:val="36986A3A"/>
    <w:rsid w:val="36A87F6F"/>
    <w:rsid w:val="36CB4341"/>
    <w:rsid w:val="36D85F86"/>
    <w:rsid w:val="36E32A60"/>
    <w:rsid w:val="36EB3B3B"/>
    <w:rsid w:val="36F56A76"/>
    <w:rsid w:val="37013198"/>
    <w:rsid w:val="3711154C"/>
    <w:rsid w:val="372332B1"/>
    <w:rsid w:val="373231FF"/>
    <w:rsid w:val="3738024B"/>
    <w:rsid w:val="373929CA"/>
    <w:rsid w:val="374F7BF4"/>
    <w:rsid w:val="37580A4A"/>
    <w:rsid w:val="378B28AA"/>
    <w:rsid w:val="379C5CF5"/>
    <w:rsid w:val="379C5DDF"/>
    <w:rsid w:val="37B9658B"/>
    <w:rsid w:val="37C37B72"/>
    <w:rsid w:val="37E44BB2"/>
    <w:rsid w:val="37F3318D"/>
    <w:rsid w:val="38201DC9"/>
    <w:rsid w:val="3898498B"/>
    <w:rsid w:val="389B107E"/>
    <w:rsid w:val="38BE2361"/>
    <w:rsid w:val="38BE3086"/>
    <w:rsid w:val="392253BF"/>
    <w:rsid w:val="39680636"/>
    <w:rsid w:val="397D46C6"/>
    <w:rsid w:val="39CA6B92"/>
    <w:rsid w:val="39E0260D"/>
    <w:rsid w:val="3A1E4602"/>
    <w:rsid w:val="3A4006ED"/>
    <w:rsid w:val="3A535861"/>
    <w:rsid w:val="3A724103"/>
    <w:rsid w:val="3AA3653D"/>
    <w:rsid w:val="3ABB17BC"/>
    <w:rsid w:val="3ABC66F5"/>
    <w:rsid w:val="3AD90B73"/>
    <w:rsid w:val="3ADD37F6"/>
    <w:rsid w:val="3B0A4793"/>
    <w:rsid w:val="3B15338E"/>
    <w:rsid w:val="3B1643FE"/>
    <w:rsid w:val="3B1A5EDC"/>
    <w:rsid w:val="3B1C437E"/>
    <w:rsid w:val="3B2172BE"/>
    <w:rsid w:val="3B5B2101"/>
    <w:rsid w:val="3B601728"/>
    <w:rsid w:val="3B631EDC"/>
    <w:rsid w:val="3B700B63"/>
    <w:rsid w:val="3B740455"/>
    <w:rsid w:val="3BDA252C"/>
    <w:rsid w:val="3C0C44E6"/>
    <w:rsid w:val="3C4A5099"/>
    <w:rsid w:val="3CB549CE"/>
    <w:rsid w:val="3CBC4E16"/>
    <w:rsid w:val="3CD80D1E"/>
    <w:rsid w:val="3CF44F1F"/>
    <w:rsid w:val="3D070BA4"/>
    <w:rsid w:val="3D583BFE"/>
    <w:rsid w:val="3D59314B"/>
    <w:rsid w:val="3D872826"/>
    <w:rsid w:val="3D8D1D02"/>
    <w:rsid w:val="3D997A68"/>
    <w:rsid w:val="3DB07074"/>
    <w:rsid w:val="3DB52385"/>
    <w:rsid w:val="3DE443F4"/>
    <w:rsid w:val="3DE46EA0"/>
    <w:rsid w:val="3DED283A"/>
    <w:rsid w:val="3E0B4E5E"/>
    <w:rsid w:val="3E4B2F5B"/>
    <w:rsid w:val="3E731F20"/>
    <w:rsid w:val="3E7357CF"/>
    <w:rsid w:val="3E743DC9"/>
    <w:rsid w:val="3E9E08E4"/>
    <w:rsid w:val="3EB113C6"/>
    <w:rsid w:val="3ED3027D"/>
    <w:rsid w:val="3ED538B6"/>
    <w:rsid w:val="3EDD4805"/>
    <w:rsid w:val="3EDF1E43"/>
    <w:rsid w:val="3EF37285"/>
    <w:rsid w:val="3EF87B4E"/>
    <w:rsid w:val="3F1060DE"/>
    <w:rsid w:val="3F163968"/>
    <w:rsid w:val="3F1D3A5C"/>
    <w:rsid w:val="3F2034D1"/>
    <w:rsid w:val="3F2E1815"/>
    <w:rsid w:val="3F2F0459"/>
    <w:rsid w:val="3F4342B0"/>
    <w:rsid w:val="3F625C33"/>
    <w:rsid w:val="3FAA16EB"/>
    <w:rsid w:val="3FAD27B5"/>
    <w:rsid w:val="3FBB744E"/>
    <w:rsid w:val="3FCA2109"/>
    <w:rsid w:val="3FDC36DB"/>
    <w:rsid w:val="3FE228F8"/>
    <w:rsid w:val="3FF71696"/>
    <w:rsid w:val="401D3EDB"/>
    <w:rsid w:val="403E235E"/>
    <w:rsid w:val="404A714F"/>
    <w:rsid w:val="41162FD9"/>
    <w:rsid w:val="4177236C"/>
    <w:rsid w:val="41922724"/>
    <w:rsid w:val="4194732D"/>
    <w:rsid w:val="41A01B85"/>
    <w:rsid w:val="41A76B1B"/>
    <w:rsid w:val="41B61826"/>
    <w:rsid w:val="41B95BA9"/>
    <w:rsid w:val="41BA0B83"/>
    <w:rsid w:val="41CA530E"/>
    <w:rsid w:val="41CE694F"/>
    <w:rsid w:val="41E30E82"/>
    <w:rsid w:val="41E52154"/>
    <w:rsid w:val="41F05E24"/>
    <w:rsid w:val="421D7E8D"/>
    <w:rsid w:val="42332D50"/>
    <w:rsid w:val="425705FC"/>
    <w:rsid w:val="427D0736"/>
    <w:rsid w:val="4280005E"/>
    <w:rsid w:val="429D077F"/>
    <w:rsid w:val="42A54D11"/>
    <w:rsid w:val="42CE7875"/>
    <w:rsid w:val="42F0772D"/>
    <w:rsid w:val="42F647C3"/>
    <w:rsid w:val="435159D7"/>
    <w:rsid w:val="436C658D"/>
    <w:rsid w:val="4378376D"/>
    <w:rsid w:val="4384541A"/>
    <w:rsid w:val="43894CDA"/>
    <w:rsid w:val="43A405DC"/>
    <w:rsid w:val="43BA2314"/>
    <w:rsid w:val="43EB2316"/>
    <w:rsid w:val="43EB581C"/>
    <w:rsid w:val="440D1EFC"/>
    <w:rsid w:val="441D589D"/>
    <w:rsid w:val="44361309"/>
    <w:rsid w:val="445832A0"/>
    <w:rsid w:val="446B7E51"/>
    <w:rsid w:val="4473443E"/>
    <w:rsid w:val="44765943"/>
    <w:rsid w:val="44B777D8"/>
    <w:rsid w:val="44C65C4C"/>
    <w:rsid w:val="44D2144A"/>
    <w:rsid w:val="44D35960"/>
    <w:rsid w:val="44DC4012"/>
    <w:rsid w:val="44E56697"/>
    <w:rsid w:val="453B5715"/>
    <w:rsid w:val="455A1257"/>
    <w:rsid w:val="458A171D"/>
    <w:rsid w:val="458E6424"/>
    <w:rsid w:val="45B4028D"/>
    <w:rsid w:val="45B635E0"/>
    <w:rsid w:val="45C23165"/>
    <w:rsid w:val="45CA3FC5"/>
    <w:rsid w:val="45D81978"/>
    <w:rsid w:val="45F85230"/>
    <w:rsid w:val="45FE02F5"/>
    <w:rsid w:val="46083ED3"/>
    <w:rsid w:val="461E708A"/>
    <w:rsid w:val="46704F55"/>
    <w:rsid w:val="4691334E"/>
    <w:rsid w:val="469A6B5D"/>
    <w:rsid w:val="469B4429"/>
    <w:rsid w:val="46A8689F"/>
    <w:rsid w:val="46B632FB"/>
    <w:rsid w:val="46E41D15"/>
    <w:rsid w:val="47076475"/>
    <w:rsid w:val="470A35B2"/>
    <w:rsid w:val="475A0D0E"/>
    <w:rsid w:val="475E1F1F"/>
    <w:rsid w:val="47601B3B"/>
    <w:rsid w:val="476129E9"/>
    <w:rsid w:val="476C08A7"/>
    <w:rsid w:val="47710152"/>
    <w:rsid w:val="47A34BB4"/>
    <w:rsid w:val="47AE57BB"/>
    <w:rsid w:val="47BC5DA2"/>
    <w:rsid w:val="47D51E95"/>
    <w:rsid w:val="47EA189F"/>
    <w:rsid w:val="48094085"/>
    <w:rsid w:val="4814260A"/>
    <w:rsid w:val="48444F67"/>
    <w:rsid w:val="48B5127C"/>
    <w:rsid w:val="48CD311E"/>
    <w:rsid w:val="48D21609"/>
    <w:rsid w:val="48D93E9C"/>
    <w:rsid w:val="48DF2A03"/>
    <w:rsid w:val="48FA2CE7"/>
    <w:rsid w:val="491B75C5"/>
    <w:rsid w:val="49242610"/>
    <w:rsid w:val="492D034C"/>
    <w:rsid w:val="4989208B"/>
    <w:rsid w:val="499429DA"/>
    <w:rsid w:val="49BF28D7"/>
    <w:rsid w:val="49DF3FCA"/>
    <w:rsid w:val="4A075FCF"/>
    <w:rsid w:val="4A2033B7"/>
    <w:rsid w:val="4A347DDB"/>
    <w:rsid w:val="4A451BF1"/>
    <w:rsid w:val="4A51592C"/>
    <w:rsid w:val="4A600AE2"/>
    <w:rsid w:val="4A836419"/>
    <w:rsid w:val="4AB71926"/>
    <w:rsid w:val="4B021E58"/>
    <w:rsid w:val="4B1464A5"/>
    <w:rsid w:val="4B212A9C"/>
    <w:rsid w:val="4B293E17"/>
    <w:rsid w:val="4B4632C8"/>
    <w:rsid w:val="4B625249"/>
    <w:rsid w:val="4B6A2199"/>
    <w:rsid w:val="4B936965"/>
    <w:rsid w:val="4BA71445"/>
    <w:rsid w:val="4BA84361"/>
    <w:rsid w:val="4BC5020C"/>
    <w:rsid w:val="4BD305AB"/>
    <w:rsid w:val="4BF270D2"/>
    <w:rsid w:val="4C147C37"/>
    <w:rsid w:val="4C154647"/>
    <w:rsid w:val="4C3F3261"/>
    <w:rsid w:val="4C420F42"/>
    <w:rsid w:val="4C6E4389"/>
    <w:rsid w:val="4C7C2B81"/>
    <w:rsid w:val="4C8017FC"/>
    <w:rsid w:val="4C86357C"/>
    <w:rsid w:val="4C9B6F23"/>
    <w:rsid w:val="4CC65928"/>
    <w:rsid w:val="4CF130AC"/>
    <w:rsid w:val="4D502AD2"/>
    <w:rsid w:val="4D535506"/>
    <w:rsid w:val="4D74281B"/>
    <w:rsid w:val="4D9C2546"/>
    <w:rsid w:val="4DB25064"/>
    <w:rsid w:val="4DC86E54"/>
    <w:rsid w:val="4E033390"/>
    <w:rsid w:val="4E051A5B"/>
    <w:rsid w:val="4E0A2C69"/>
    <w:rsid w:val="4E2C3D54"/>
    <w:rsid w:val="4E47640B"/>
    <w:rsid w:val="4E564297"/>
    <w:rsid w:val="4E5E0FFE"/>
    <w:rsid w:val="4E677C88"/>
    <w:rsid w:val="4E84002C"/>
    <w:rsid w:val="4E993608"/>
    <w:rsid w:val="4EAC1F98"/>
    <w:rsid w:val="4EC96C4A"/>
    <w:rsid w:val="4F145FF0"/>
    <w:rsid w:val="4F1E04E6"/>
    <w:rsid w:val="4F541DDE"/>
    <w:rsid w:val="4F815011"/>
    <w:rsid w:val="4F93507B"/>
    <w:rsid w:val="4FB20316"/>
    <w:rsid w:val="4FCF2BC1"/>
    <w:rsid w:val="4FE66E66"/>
    <w:rsid w:val="4FF83E55"/>
    <w:rsid w:val="50141021"/>
    <w:rsid w:val="50414B99"/>
    <w:rsid w:val="5064491C"/>
    <w:rsid w:val="506C1F2E"/>
    <w:rsid w:val="508E5879"/>
    <w:rsid w:val="508F7CCE"/>
    <w:rsid w:val="509118C7"/>
    <w:rsid w:val="50A748DC"/>
    <w:rsid w:val="50AE2449"/>
    <w:rsid w:val="50EA69BB"/>
    <w:rsid w:val="50ED7CD4"/>
    <w:rsid w:val="5109054E"/>
    <w:rsid w:val="510E3FE5"/>
    <w:rsid w:val="513828A2"/>
    <w:rsid w:val="5152745B"/>
    <w:rsid w:val="51831B2B"/>
    <w:rsid w:val="51D77E86"/>
    <w:rsid w:val="51E6343F"/>
    <w:rsid w:val="51F96E1E"/>
    <w:rsid w:val="51FC17BE"/>
    <w:rsid w:val="520458EF"/>
    <w:rsid w:val="522D3623"/>
    <w:rsid w:val="523A3EA9"/>
    <w:rsid w:val="52631EDE"/>
    <w:rsid w:val="526F2C16"/>
    <w:rsid w:val="52895F09"/>
    <w:rsid w:val="5291200A"/>
    <w:rsid w:val="529A1E00"/>
    <w:rsid w:val="52DE3313"/>
    <w:rsid w:val="52EF0472"/>
    <w:rsid w:val="532D308A"/>
    <w:rsid w:val="533D00F5"/>
    <w:rsid w:val="534012A2"/>
    <w:rsid w:val="5353378C"/>
    <w:rsid w:val="53736C8E"/>
    <w:rsid w:val="53840AF6"/>
    <w:rsid w:val="53857016"/>
    <w:rsid w:val="53895B01"/>
    <w:rsid w:val="53897A7C"/>
    <w:rsid w:val="53B074E0"/>
    <w:rsid w:val="53DD618D"/>
    <w:rsid w:val="53E555B7"/>
    <w:rsid w:val="53F1717E"/>
    <w:rsid w:val="53F45251"/>
    <w:rsid w:val="53FA57AC"/>
    <w:rsid w:val="540611A9"/>
    <w:rsid w:val="54095D02"/>
    <w:rsid w:val="54196A03"/>
    <w:rsid w:val="54285FA3"/>
    <w:rsid w:val="5431669B"/>
    <w:rsid w:val="54A9608C"/>
    <w:rsid w:val="54E42F03"/>
    <w:rsid w:val="550C64B7"/>
    <w:rsid w:val="5515510B"/>
    <w:rsid w:val="557A4B77"/>
    <w:rsid w:val="5590425C"/>
    <w:rsid w:val="55BD2117"/>
    <w:rsid w:val="55C404B3"/>
    <w:rsid w:val="55CB6D8E"/>
    <w:rsid w:val="55D922E0"/>
    <w:rsid w:val="55DF57E7"/>
    <w:rsid w:val="55EB0970"/>
    <w:rsid w:val="56135788"/>
    <w:rsid w:val="563534DA"/>
    <w:rsid w:val="565355A7"/>
    <w:rsid w:val="56971178"/>
    <w:rsid w:val="56E55EC7"/>
    <w:rsid w:val="56EC3645"/>
    <w:rsid w:val="56F3591C"/>
    <w:rsid w:val="570D61AF"/>
    <w:rsid w:val="57601FD3"/>
    <w:rsid w:val="57911087"/>
    <w:rsid w:val="579B5933"/>
    <w:rsid w:val="57D95F3F"/>
    <w:rsid w:val="57E27309"/>
    <w:rsid w:val="58043B92"/>
    <w:rsid w:val="580E3CD4"/>
    <w:rsid w:val="581460C7"/>
    <w:rsid w:val="58673E4C"/>
    <w:rsid w:val="586D05DC"/>
    <w:rsid w:val="587A3D7A"/>
    <w:rsid w:val="58C73465"/>
    <w:rsid w:val="58DB6E18"/>
    <w:rsid w:val="590F7B4B"/>
    <w:rsid w:val="59160A85"/>
    <w:rsid w:val="591919B7"/>
    <w:rsid w:val="591D0DF8"/>
    <w:rsid w:val="593137B9"/>
    <w:rsid w:val="59350E84"/>
    <w:rsid w:val="59552B76"/>
    <w:rsid w:val="59653CA5"/>
    <w:rsid w:val="59B100CF"/>
    <w:rsid w:val="59B85A4F"/>
    <w:rsid w:val="59CC0749"/>
    <w:rsid w:val="59D5129C"/>
    <w:rsid w:val="59FC4797"/>
    <w:rsid w:val="5A264873"/>
    <w:rsid w:val="5A343EA7"/>
    <w:rsid w:val="5A824DB8"/>
    <w:rsid w:val="5A9E73FC"/>
    <w:rsid w:val="5AA03F7E"/>
    <w:rsid w:val="5AB3129B"/>
    <w:rsid w:val="5ADF5E89"/>
    <w:rsid w:val="5AEA3D17"/>
    <w:rsid w:val="5B0D7EDB"/>
    <w:rsid w:val="5B135266"/>
    <w:rsid w:val="5B1E0166"/>
    <w:rsid w:val="5B2D3390"/>
    <w:rsid w:val="5B2E77F7"/>
    <w:rsid w:val="5B38027F"/>
    <w:rsid w:val="5BA53BDC"/>
    <w:rsid w:val="5BA82090"/>
    <w:rsid w:val="5BB861E2"/>
    <w:rsid w:val="5BC26181"/>
    <w:rsid w:val="5BC33B12"/>
    <w:rsid w:val="5C125490"/>
    <w:rsid w:val="5C395DDE"/>
    <w:rsid w:val="5C8920FC"/>
    <w:rsid w:val="5C91702C"/>
    <w:rsid w:val="5C9B79E7"/>
    <w:rsid w:val="5CAE6C8A"/>
    <w:rsid w:val="5CD033DB"/>
    <w:rsid w:val="5D0944AF"/>
    <w:rsid w:val="5D0B7CFB"/>
    <w:rsid w:val="5D0D49A4"/>
    <w:rsid w:val="5D1C2F78"/>
    <w:rsid w:val="5D1C547B"/>
    <w:rsid w:val="5D354E3B"/>
    <w:rsid w:val="5D5E71BA"/>
    <w:rsid w:val="5D8B2553"/>
    <w:rsid w:val="5D933417"/>
    <w:rsid w:val="5D9500C8"/>
    <w:rsid w:val="5DA132C3"/>
    <w:rsid w:val="5DFC7772"/>
    <w:rsid w:val="5E2C22A1"/>
    <w:rsid w:val="5E803263"/>
    <w:rsid w:val="5E8A49FE"/>
    <w:rsid w:val="5EA5107D"/>
    <w:rsid w:val="5EB36C9A"/>
    <w:rsid w:val="5EB561DC"/>
    <w:rsid w:val="5EB908AC"/>
    <w:rsid w:val="5EEF3970"/>
    <w:rsid w:val="5F01359F"/>
    <w:rsid w:val="5F09252B"/>
    <w:rsid w:val="5F0A22DD"/>
    <w:rsid w:val="5F18144C"/>
    <w:rsid w:val="5F267691"/>
    <w:rsid w:val="5F2F70FE"/>
    <w:rsid w:val="5F361C4E"/>
    <w:rsid w:val="5F4802E9"/>
    <w:rsid w:val="5F6746CD"/>
    <w:rsid w:val="5F734173"/>
    <w:rsid w:val="5F8473D6"/>
    <w:rsid w:val="5F92750F"/>
    <w:rsid w:val="5F966D4B"/>
    <w:rsid w:val="5F9E49AD"/>
    <w:rsid w:val="5FB82D11"/>
    <w:rsid w:val="5FE67D72"/>
    <w:rsid w:val="5FE925E5"/>
    <w:rsid w:val="5FEF0245"/>
    <w:rsid w:val="5FF0681A"/>
    <w:rsid w:val="600E4F01"/>
    <w:rsid w:val="603152C4"/>
    <w:rsid w:val="603C3179"/>
    <w:rsid w:val="60582FBC"/>
    <w:rsid w:val="605B6088"/>
    <w:rsid w:val="607A7C55"/>
    <w:rsid w:val="6087602C"/>
    <w:rsid w:val="608D5F4D"/>
    <w:rsid w:val="609852A3"/>
    <w:rsid w:val="60BE59E3"/>
    <w:rsid w:val="60C848B8"/>
    <w:rsid w:val="60CE5FD3"/>
    <w:rsid w:val="60E013E7"/>
    <w:rsid w:val="60FD5BDB"/>
    <w:rsid w:val="610A013B"/>
    <w:rsid w:val="6126573E"/>
    <w:rsid w:val="614E273A"/>
    <w:rsid w:val="616D760A"/>
    <w:rsid w:val="61E9402E"/>
    <w:rsid w:val="61EB12D5"/>
    <w:rsid w:val="61ED6CD0"/>
    <w:rsid w:val="620216B9"/>
    <w:rsid w:val="62185580"/>
    <w:rsid w:val="621E0353"/>
    <w:rsid w:val="62517895"/>
    <w:rsid w:val="627C5FFC"/>
    <w:rsid w:val="628371BB"/>
    <w:rsid w:val="62907E32"/>
    <w:rsid w:val="629E5BF8"/>
    <w:rsid w:val="62C126C1"/>
    <w:rsid w:val="62CF3BA5"/>
    <w:rsid w:val="62D17C8F"/>
    <w:rsid w:val="62EC5831"/>
    <w:rsid w:val="62F53625"/>
    <w:rsid w:val="630A1CF5"/>
    <w:rsid w:val="630F6BAB"/>
    <w:rsid w:val="631C4DC9"/>
    <w:rsid w:val="63252295"/>
    <w:rsid w:val="63641C9C"/>
    <w:rsid w:val="636E619B"/>
    <w:rsid w:val="639D0EFD"/>
    <w:rsid w:val="63A67419"/>
    <w:rsid w:val="63AA2AD1"/>
    <w:rsid w:val="63B74316"/>
    <w:rsid w:val="63B757D3"/>
    <w:rsid w:val="640D3FE2"/>
    <w:rsid w:val="64175ECF"/>
    <w:rsid w:val="643A5025"/>
    <w:rsid w:val="643B0E01"/>
    <w:rsid w:val="649914D6"/>
    <w:rsid w:val="64B614B7"/>
    <w:rsid w:val="64B61E19"/>
    <w:rsid w:val="64CA3E29"/>
    <w:rsid w:val="64DF5BCE"/>
    <w:rsid w:val="64F51656"/>
    <w:rsid w:val="65064341"/>
    <w:rsid w:val="6515755F"/>
    <w:rsid w:val="65372A14"/>
    <w:rsid w:val="6539159D"/>
    <w:rsid w:val="653D163A"/>
    <w:rsid w:val="654B399C"/>
    <w:rsid w:val="654D7A4F"/>
    <w:rsid w:val="6552785E"/>
    <w:rsid w:val="65633D0E"/>
    <w:rsid w:val="656945F5"/>
    <w:rsid w:val="656C0D28"/>
    <w:rsid w:val="65965E87"/>
    <w:rsid w:val="65C85A5E"/>
    <w:rsid w:val="65EA7F5F"/>
    <w:rsid w:val="65FB2217"/>
    <w:rsid w:val="66083824"/>
    <w:rsid w:val="66113C5A"/>
    <w:rsid w:val="662144E0"/>
    <w:rsid w:val="662B7A7D"/>
    <w:rsid w:val="663C55AA"/>
    <w:rsid w:val="671D76E9"/>
    <w:rsid w:val="672B4044"/>
    <w:rsid w:val="676E2B8A"/>
    <w:rsid w:val="67803651"/>
    <w:rsid w:val="678503BF"/>
    <w:rsid w:val="67853EF6"/>
    <w:rsid w:val="67962536"/>
    <w:rsid w:val="67A02E66"/>
    <w:rsid w:val="67D22DE0"/>
    <w:rsid w:val="67D70308"/>
    <w:rsid w:val="67E9775B"/>
    <w:rsid w:val="68007C5D"/>
    <w:rsid w:val="6837086C"/>
    <w:rsid w:val="68382926"/>
    <w:rsid w:val="684B4EEB"/>
    <w:rsid w:val="6859060D"/>
    <w:rsid w:val="685B47BC"/>
    <w:rsid w:val="688C399E"/>
    <w:rsid w:val="68E24DF7"/>
    <w:rsid w:val="69064135"/>
    <w:rsid w:val="691A25BA"/>
    <w:rsid w:val="692C7206"/>
    <w:rsid w:val="692D613E"/>
    <w:rsid w:val="6946450E"/>
    <w:rsid w:val="69651135"/>
    <w:rsid w:val="69662DA7"/>
    <w:rsid w:val="69A1113B"/>
    <w:rsid w:val="69C051F6"/>
    <w:rsid w:val="69E93034"/>
    <w:rsid w:val="69EC236C"/>
    <w:rsid w:val="69F864D6"/>
    <w:rsid w:val="69FB664A"/>
    <w:rsid w:val="69FC6CB6"/>
    <w:rsid w:val="6A5C51C6"/>
    <w:rsid w:val="6A615915"/>
    <w:rsid w:val="6A63748C"/>
    <w:rsid w:val="6A6A0A30"/>
    <w:rsid w:val="6AF10582"/>
    <w:rsid w:val="6B095F83"/>
    <w:rsid w:val="6B0F1BCB"/>
    <w:rsid w:val="6B393832"/>
    <w:rsid w:val="6B661359"/>
    <w:rsid w:val="6BAB4484"/>
    <w:rsid w:val="6BAF7181"/>
    <w:rsid w:val="6BBE4627"/>
    <w:rsid w:val="6BE6565E"/>
    <w:rsid w:val="6C5E10AD"/>
    <w:rsid w:val="6C67368E"/>
    <w:rsid w:val="6C7F2B40"/>
    <w:rsid w:val="6C8B2730"/>
    <w:rsid w:val="6CB75764"/>
    <w:rsid w:val="6CDA386F"/>
    <w:rsid w:val="6CDD5676"/>
    <w:rsid w:val="6CED7EB2"/>
    <w:rsid w:val="6D0737EE"/>
    <w:rsid w:val="6D4D25CA"/>
    <w:rsid w:val="6D6B406E"/>
    <w:rsid w:val="6D757279"/>
    <w:rsid w:val="6D8B3862"/>
    <w:rsid w:val="6D965F83"/>
    <w:rsid w:val="6DA202B5"/>
    <w:rsid w:val="6DD45405"/>
    <w:rsid w:val="6DDE3D2C"/>
    <w:rsid w:val="6DE643B4"/>
    <w:rsid w:val="6DFC0CAF"/>
    <w:rsid w:val="6E140529"/>
    <w:rsid w:val="6E3C0BDA"/>
    <w:rsid w:val="6E583EDF"/>
    <w:rsid w:val="6E7628AF"/>
    <w:rsid w:val="6EB74669"/>
    <w:rsid w:val="6EBA6175"/>
    <w:rsid w:val="6EBE7579"/>
    <w:rsid w:val="6ECE7C40"/>
    <w:rsid w:val="6ED56BE2"/>
    <w:rsid w:val="6ED94826"/>
    <w:rsid w:val="6EE8502C"/>
    <w:rsid w:val="6EED7994"/>
    <w:rsid w:val="6F310D29"/>
    <w:rsid w:val="6F3D68A3"/>
    <w:rsid w:val="6F4F59DA"/>
    <w:rsid w:val="6F675F6B"/>
    <w:rsid w:val="6FA72428"/>
    <w:rsid w:val="6FB50B42"/>
    <w:rsid w:val="6FB50B94"/>
    <w:rsid w:val="6FF51EB8"/>
    <w:rsid w:val="70141302"/>
    <w:rsid w:val="70284B86"/>
    <w:rsid w:val="702F162A"/>
    <w:rsid w:val="70CE6DD4"/>
    <w:rsid w:val="70D56C03"/>
    <w:rsid w:val="710C4723"/>
    <w:rsid w:val="713D6685"/>
    <w:rsid w:val="714137F1"/>
    <w:rsid w:val="714A71C3"/>
    <w:rsid w:val="714B259F"/>
    <w:rsid w:val="714F1BE7"/>
    <w:rsid w:val="715007D4"/>
    <w:rsid w:val="71D913F3"/>
    <w:rsid w:val="71DA5F26"/>
    <w:rsid w:val="71DB11DD"/>
    <w:rsid w:val="725F4797"/>
    <w:rsid w:val="72732752"/>
    <w:rsid w:val="727A2BA2"/>
    <w:rsid w:val="7291274E"/>
    <w:rsid w:val="729A7B71"/>
    <w:rsid w:val="72AB43BE"/>
    <w:rsid w:val="72B96277"/>
    <w:rsid w:val="72DE0143"/>
    <w:rsid w:val="73102263"/>
    <w:rsid w:val="732A3545"/>
    <w:rsid w:val="73313321"/>
    <w:rsid w:val="7332254C"/>
    <w:rsid w:val="734A2821"/>
    <w:rsid w:val="735E42E2"/>
    <w:rsid w:val="73623D79"/>
    <w:rsid w:val="73710155"/>
    <w:rsid w:val="73873169"/>
    <w:rsid w:val="73874F0A"/>
    <w:rsid w:val="73A30435"/>
    <w:rsid w:val="73BF5F61"/>
    <w:rsid w:val="73CE19C8"/>
    <w:rsid w:val="73EF6011"/>
    <w:rsid w:val="73F922A3"/>
    <w:rsid w:val="73FF0677"/>
    <w:rsid w:val="740F0A2D"/>
    <w:rsid w:val="742B6BB0"/>
    <w:rsid w:val="743500BA"/>
    <w:rsid w:val="743F6941"/>
    <w:rsid w:val="74517B92"/>
    <w:rsid w:val="74574CE6"/>
    <w:rsid w:val="74B02171"/>
    <w:rsid w:val="74D16574"/>
    <w:rsid w:val="74DB3ECF"/>
    <w:rsid w:val="74F46627"/>
    <w:rsid w:val="75403E42"/>
    <w:rsid w:val="75422911"/>
    <w:rsid w:val="7561286A"/>
    <w:rsid w:val="757D77BD"/>
    <w:rsid w:val="758E735A"/>
    <w:rsid w:val="75961A3C"/>
    <w:rsid w:val="75C31E76"/>
    <w:rsid w:val="75D75FA9"/>
    <w:rsid w:val="75DB2CEF"/>
    <w:rsid w:val="75E06086"/>
    <w:rsid w:val="766D07C9"/>
    <w:rsid w:val="7691342F"/>
    <w:rsid w:val="76A2099B"/>
    <w:rsid w:val="76E653F6"/>
    <w:rsid w:val="76E92226"/>
    <w:rsid w:val="76FE6C5E"/>
    <w:rsid w:val="771807B3"/>
    <w:rsid w:val="772756C9"/>
    <w:rsid w:val="77512AF2"/>
    <w:rsid w:val="77531430"/>
    <w:rsid w:val="77650352"/>
    <w:rsid w:val="77A33839"/>
    <w:rsid w:val="77AB20F1"/>
    <w:rsid w:val="77B44ECB"/>
    <w:rsid w:val="77BB416F"/>
    <w:rsid w:val="77D54F75"/>
    <w:rsid w:val="78010ED0"/>
    <w:rsid w:val="78014EB1"/>
    <w:rsid w:val="780F0A75"/>
    <w:rsid w:val="782B7D0B"/>
    <w:rsid w:val="784D3799"/>
    <w:rsid w:val="78971B0D"/>
    <w:rsid w:val="78B77DF3"/>
    <w:rsid w:val="78C71D5A"/>
    <w:rsid w:val="78E13E4C"/>
    <w:rsid w:val="78EA2C3C"/>
    <w:rsid w:val="79007757"/>
    <w:rsid w:val="791060AF"/>
    <w:rsid w:val="793547FC"/>
    <w:rsid w:val="795C78D0"/>
    <w:rsid w:val="798127C9"/>
    <w:rsid w:val="798618C2"/>
    <w:rsid w:val="79B02FE2"/>
    <w:rsid w:val="79BB4CC5"/>
    <w:rsid w:val="79D972F7"/>
    <w:rsid w:val="79E30119"/>
    <w:rsid w:val="79ED0BEC"/>
    <w:rsid w:val="7A1F0304"/>
    <w:rsid w:val="7A2A31AB"/>
    <w:rsid w:val="7A4E4A17"/>
    <w:rsid w:val="7A5467C4"/>
    <w:rsid w:val="7A5C3A70"/>
    <w:rsid w:val="7A6E4D94"/>
    <w:rsid w:val="7A965AB3"/>
    <w:rsid w:val="7AA720FC"/>
    <w:rsid w:val="7AC36824"/>
    <w:rsid w:val="7AEC3118"/>
    <w:rsid w:val="7B1A1260"/>
    <w:rsid w:val="7B2000E8"/>
    <w:rsid w:val="7B3E7733"/>
    <w:rsid w:val="7B4B3179"/>
    <w:rsid w:val="7B794292"/>
    <w:rsid w:val="7B900FE9"/>
    <w:rsid w:val="7BCA0E06"/>
    <w:rsid w:val="7BE06C6B"/>
    <w:rsid w:val="7BF079B7"/>
    <w:rsid w:val="7BF55B6A"/>
    <w:rsid w:val="7BFB6491"/>
    <w:rsid w:val="7C2D5286"/>
    <w:rsid w:val="7C3227B2"/>
    <w:rsid w:val="7C352981"/>
    <w:rsid w:val="7C385711"/>
    <w:rsid w:val="7C402EA4"/>
    <w:rsid w:val="7C993E56"/>
    <w:rsid w:val="7CB024FE"/>
    <w:rsid w:val="7D38402A"/>
    <w:rsid w:val="7D7826C2"/>
    <w:rsid w:val="7D8D39A4"/>
    <w:rsid w:val="7D8F600D"/>
    <w:rsid w:val="7DB04A2B"/>
    <w:rsid w:val="7DB30925"/>
    <w:rsid w:val="7DC27EE8"/>
    <w:rsid w:val="7DF66153"/>
    <w:rsid w:val="7DF806AB"/>
    <w:rsid w:val="7E1C5ADD"/>
    <w:rsid w:val="7E202B12"/>
    <w:rsid w:val="7E2645D0"/>
    <w:rsid w:val="7E2C1DDB"/>
    <w:rsid w:val="7E435F1A"/>
    <w:rsid w:val="7E4866B3"/>
    <w:rsid w:val="7E542529"/>
    <w:rsid w:val="7E5960B2"/>
    <w:rsid w:val="7E5A7B9D"/>
    <w:rsid w:val="7E6B3C71"/>
    <w:rsid w:val="7E6F5B90"/>
    <w:rsid w:val="7E7E5FDB"/>
    <w:rsid w:val="7EC35C4B"/>
    <w:rsid w:val="7EC556B4"/>
    <w:rsid w:val="7ED00277"/>
    <w:rsid w:val="7EDD7A77"/>
    <w:rsid w:val="7EE15E3B"/>
    <w:rsid w:val="7EF24A99"/>
    <w:rsid w:val="7F1D465C"/>
    <w:rsid w:val="7F227340"/>
    <w:rsid w:val="7F516DDB"/>
    <w:rsid w:val="7F702DE3"/>
    <w:rsid w:val="7F810142"/>
    <w:rsid w:val="7FD60009"/>
    <w:rsid w:val="7FD92326"/>
    <w:rsid w:val="7FDA2FB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4">
    <w:name w:val="heading 3"/>
    <w:basedOn w:val="1"/>
    <w:next w:val="1"/>
    <w:link w:val="40"/>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28"/>
    <w:unhideWhenUsed/>
    <w:qFormat/>
    <w:uiPriority w:val="0"/>
    <w:pPr>
      <w:spacing w:after="0"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标题 1 Char"/>
    <w:link w:val="2"/>
    <w:qFormat/>
    <w:uiPriority w:val="99"/>
    <w:rPr>
      <w:rFonts w:ascii="Arial" w:hAnsi="Arial" w:eastAsia="黑体"/>
      <w:b/>
      <w:bCs/>
      <w:sz w:val="30"/>
      <w:szCs w:val="30"/>
      <w:lang w:val="zh-CN"/>
    </w:rPr>
  </w:style>
  <w:style w:type="character" w:customStyle="1" w:styleId="24">
    <w:name w:val="页眉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批注文字 Char"/>
    <w:basedOn w:val="17"/>
    <w:link w:val="8"/>
    <w:qFormat/>
    <w:uiPriority w:val="0"/>
  </w:style>
  <w:style w:type="character" w:customStyle="1" w:styleId="27">
    <w:name w:val="批注主题 Char"/>
    <w:link w:val="7"/>
    <w:qFormat/>
    <w:uiPriority w:val="0"/>
    <w:rPr>
      <w:b/>
      <w:bCs/>
    </w:rPr>
  </w:style>
  <w:style w:type="character" w:customStyle="1" w:styleId="28">
    <w:name w:val="批注框文本 Char"/>
    <w:link w:val="13"/>
    <w:qFormat/>
    <w:uiPriority w:val="0"/>
    <w:rPr>
      <w:rFonts w:ascii="Tahoma" w:hAnsi="Tahoma" w:cs="Tahoma"/>
      <w:sz w:val="16"/>
      <w:szCs w:val="16"/>
    </w:rPr>
  </w:style>
  <w:style w:type="character" w:customStyle="1" w:styleId="29">
    <w:name w:val="文档结构图 Char"/>
    <w:link w:val="11"/>
    <w:qFormat/>
    <w:uiPriority w:val="0"/>
    <w:rPr>
      <w:rFonts w:ascii="宋体"/>
      <w:sz w:val="18"/>
      <w:szCs w:val="18"/>
    </w:rPr>
  </w:style>
  <w:style w:type="character" w:customStyle="1" w:styleId="30">
    <w:name w:val="正文文本 Char"/>
    <w:link w:val="12"/>
    <w:qFormat/>
    <w:uiPriority w:val="0"/>
    <w:rPr>
      <w:rFonts w:ascii="Times New Roman" w:hAnsi="Times New Roman"/>
      <w:color w:val="0000FF"/>
      <w:kern w:val="2"/>
      <w:sz w:val="21"/>
    </w:rPr>
  </w:style>
  <w:style w:type="character" w:customStyle="1" w:styleId="31">
    <w:name w:val="题注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35"/>
    <w:link w:val="36"/>
    <w:qFormat/>
    <w:uiPriority w:val="0"/>
    <w:pPr>
      <w:overflowPunct w:val="0"/>
      <w:autoSpaceDE w:val="0"/>
      <w:autoSpaceDN w:val="0"/>
      <w:adjustRightInd w:val="0"/>
      <w:jc w:val="center"/>
      <w:textAlignment w:val="baseline"/>
    </w:pPr>
    <w:rPr>
      <w:rFonts w:eastAsia="Times New Roman"/>
      <w:lang w:eastAsia="en-GB"/>
    </w:rPr>
  </w:style>
  <w:style w:type="paragraph" w:customStyle="1" w:styleId="35">
    <w:name w:val="TAL"/>
    <w:basedOn w:val="1"/>
    <w:qFormat/>
    <w:uiPriority w:val="0"/>
    <w:pPr>
      <w:keepNext/>
      <w:keepLines/>
      <w:spacing w:after="0" w:line="240" w:lineRule="auto"/>
    </w:pPr>
    <w:rPr>
      <w:rFonts w:ascii="Arial" w:hAnsi="Arial"/>
      <w:sz w:val="18"/>
      <w:szCs w:val="20"/>
      <w:lang w:val="en-GB" w:eastAsia="en-US"/>
    </w:rPr>
  </w:style>
  <w:style w:type="character" w:customStyle="1" w:styleId="36">
    <w:name w:val="TAC Char"/>
    <w:link w:val="34"/>
    <w:qFormat/>
    <w:uiPriority w:val="0"/>
    <w:rPr>
      <w:rFonts w:ascii="Arial" w:hAnsi="Arial" w:eastAsia="Times New Roman"/>
      <w:sz w:val="18"/>
      <w:lang w:val="en-GB" w:eastAsia="en-GB"/>
    </w:rPr>
  </w:style>
  <w:style w:type="paragraph" w:customStyle="1" w:styleId="37">
    <w:name w:val="无间隔1"/>
    <w:qFormat/>
    <w:uiPriority w:val="1"/>
    <w:rPr>
      <w:rFonts w:ascii="Calibri" w:hAnsi="Calibri" w:eastAsia="宋体" w:cs="Times New Roman"/>
      <w:sz w:val="22"/>
      <w:szCs w:val="22"/>
      <w:lang w:val="en-US" w:eastAsia="zh-CN" w:bidi="ar-SA"/>
    </w:rPr>
  </w:style>
  <w:style w:type="character" w:customStyle="1" w:styleId="38">
    <w:name w:val="word"/>
    <w:basedOn w:val="17"/>
    <w:qFormat/>
    <w:uiPriority w:val="0"/>
  </w:style>
  <w:style w:type="paragraph" w:customStyle="1" w:styleId="39">
    <w:name w:val="列出段落1"/>
    <w:basedOn w:val="1"/>
    <w:qFormat/>
    <w:uiPriority w:val="99"/>
    <w:pPr>
      <w:widowControl w:val="0"/>
      <w:spacing w:after="0" w:line="240" w:lineRule="auto"/>
      <w:ind w:firstLine="420" w:firstLineChars="200"/>
      <w:jc w:val="both"/>
    </w:pPr>
    <w:rPr>
      <w:kern w:val="2"/>
      <w:sz w:val="21"/>
    </w:rPr>
  </w:style>
  <w:style w:type="character" w:customStyle="1" w:styleId="40">
    <w:name w:val="标题 3 Char"/>
    <w:link w:val="4"/>
    <w:qFormat/>
    <w:uiPriority w:val="0"/>
    <w:rPr>
      <w:b/>
      <w:bCs/>
      <w:sz w:val="32"/>
      <w:szCs w:val="32"/>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2">
    <w:name w:val="List Paragraph1"/>
    <w:basedOn w:val="1"/>
    <w:qFormat/>
    <w:uiPriority w:val="34"/>
    <w:pPr>
      <w:widowControl w:val="0"/>
      <w:spacing w:after="0" w:line="240" w:lineRule="auto"/>
      <w:ind w:firstLine="420" w:firstLineChars="200"/>
      <w:jc w:val="both"/>
    </w:pPr>
    <w:rPr>
      <w:kern w:val="2"/>
      <w:sz w:val="21"/>
    </w:rPr>
  </w:style>
  <w:style w:type="paragraph" w:customStyle="1" w:styleId="43">
    <w:name w:val="TH"/>
    <w:basedOn w:val="1"/>
    <w:link w:val="44"/>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after="120" w:line="336" w:lineRule="auto"/>
      <w:ind w:firstLine="397"/>
      <w:jc w:val="both"/>
    </w:pPr>
    <w:rPr>
      <w:rFonts w:ascii="Times New Roman" w:hAnsi="Times New Roman" w:eastAsia="Malgun Gothic"/>
      <w:sz w:val="20"/>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paragraph" w:customStyle="1" w:styleId="49">
    <w:name w:val="PaperTableCell"/>
    <w:basedOn w:val="1"/>
    <w:qFormat/>
    <w:uiPriority w:val="0"/>
    <w:pPr>
      <w:spacing w:after="0" w:line="240" w:lineRule="auto"/>
      <w:jc w:val="both"/>
    </w:pPr>
    <w:rPr>
      <w:rFonts w:ascii="Times New Roman" w:hAnsi="Times New Roman"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标题 2 Char"/>
    <w:basedOn w:val="17"/>
    <w:link w:val="3"/>
    <w:qFormat/>
    <w:uiPriority w:val="0"/>
    <w:rPr>
      <w:rFonts w:ascii="Times New Roman" w:hAnsi="Times New Roman"/>
      <w:i/>
      <w:iCs/>
      <w:lang w:eastAsia="en-US"/>
    </w:rPr>
  </w:style>
  <w:style w:type="character" w:customStyle="1" w:styleId="54">
    <w:name w:val="标题 4 Char"/>
    <w:basedOn w:val="17"/>
    <w:link w:val="5"/>
    <w:qFormat/>
    <w:uiPriority w:val="0"/>
    <w:rPr>
      <w:rFonts w:ascii="Times New Roman" w:hAnsi="Times New Roman"/>
      <w:i/>
      <w:iCs/>
      <w:lang w:eastAsia="en-US"/>
    </w:rPr>
  </w:style>
  <w:style w:type="character" w:customStyle="1" w:styleId="55">
    <w:name w:val="标题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after="0" w:line="240" w:lineRule="auto"/>
      <w:jc w:val="center"/>
    </w:pPr>
    <w:rPr>
      <w:rFonts w:ascii="Times New Roman" w:hAnsi="Times New Roman"/>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页脚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after="0"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스타일 스타일 스타일 스타일 양쪽 첫 줄:  2 글자 + 첫 줄:  2 글자 + 첫 줄:  2 글자 + 첫 줄:  2..."/>
    <w:basedOn w:val="1"/>
    <w:link w:val="83"/>
    <w:qFormat/>
    <w:uiPriority w:val="0"/>
    <w:pPr>
      <w:spacing w:after="180" w:line="336" w:lineRule="auto"/>
      <w:ind w:firstLine="200" w:firstLineChars="200"/>
      <w:jc w:val="both"/>
    </w:pPr>
    <w:rPr>
      <w:rFonts w:ascii="Times New Roman" w:hAnsi="Times New Roman" w:eastAsia="Malgun Gothic"/>
      <w:sz w:val="20"/>
      <w:szCs w:val="20"/>
      <w:lang w:val="en-GB" w:eastAsia="en-US"/>
    </w:rPr>
  </w:style>
  <w:style w:type="character" w:customStyle="1" w:styleId="83">
    <w:name w:val="스타일 스타일 스타일 스타일 양쪽 첫 줄:  2 글자 + 첫 줄:  2 글자 + 첫 줄:  2 글자 + 첫 줄:  2... Char"/>
    <w:link w:val="82"/>
    <w:qFormat/>
    <w:uiPriority w:val="0"/>
    <w:rPr>
      <w:rFonts w:ascii="Times New Roman" w:hAnsi="Times New Roman" w:eastAsia="Malgun Gothic"/>
      <w:lang w:val="en-GB" w:eastAsia="en-US"/>
    </w:rPr>
  </w:style>
  <w:style w:type="paragraph" w:customStyle="1" w:styleId="84">
    <w:name w:val="References"/>
    <w:basedOn w:val="1"/>
    <w:qFormat/>
    <w:uiPriority w:val="0"/>
    <w:pPr>
      <w:numPr>
        <w:ilvl w:val="0"/>
        <w:numId w:val="7"/>
      </w:numPr>
      <w:autoSpaceDE w:val="0"/>
      <w:autoSpaceDN w:val="0"/>
      <w:snapToGrid w:val="0"/>
      <w:spacing w:after="60" w:line="240" w:lineRule="auto"/>
      <w:jc w:val="both"/>
    </w:pPr>
    <w:rPr>
      <w:rFonts w:ascii="Times New Roman" w:hAnsi="Times New Roman"/>
      <w:sz w:val="20"/>
      <w:szCs w:val="16"/>
      <w:lang w:eastAsia="en-US"/>
    </w:rPr>
  </w:style>
  <w:style w:type="paragraph" w:customStyle="1" w:styleId="85">
    <w:name w:val="列出段落2"/>
    <w:basedOn w:val="1"/>
    <w:qFormat/>
    <w:uiPriority w:val="99"/>
    <w:pPr>
      <w:ind w:left="720"/>
      <w:contextualSpacing/>
    </w:pPr>
  </w:style>
  <w:style w:type="paragraph" w:customStyle="1" w:styleId="86">
    <w:name w:val="RAN1 bullet1"/>
    <w:basedOn w:val="1"/>
    <w:qFormat/>
    <w:uiPriority w:val="0"/>
    <w:pPr>
      <w:numPr>
        <w:ilvl w:val="0"/>
        <w:numId w:val="8"/>
      </w:numPr>
    </w:pPr>
  </w:style>
  <w:style w:type="paragraph" w:customStyle="1" w:styleId="87">
    <w:name w:val="RAN1 bullet2"/>
    <w:basedOn w:val="1"/>
    <w:qFormat/>
    <w:uiPriority w:val="0"/>
    <w:pPr>
      <w:numPr>
        <w:ilvl w:val="1"/>
        <w:numId w:val="9"/>
      </w:numPr>
    </w:pPr>
    <w:rPr>
      <w:szCs w:val="20"/>
    </w:rPr>
  </w:style>
  <w:style w:type="paragraph" w:customStyle="1" w:styleId="88">
    <w:name w:val="RAN1 text"/>
    <w:basedOn w:val="12"/>
    <w:qFormat/>
    <w:uiPriority w:val="0"/>
    <w:rPr>
      <w:rFonts w:eastAsia="MS Mincho"/>
    </w:rPr>
  </w:style>
  <w:style w:type="character" w:customStyle="1" w:styleId="89">
    <w:name w:val="_Style 5"/>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5.wmf"/><Relationship Id="rId43" Type="http://schemas.openxmlformats.org/officeDocument/2006/relationships/oleObject" Target="embeddings/oleObject26.bin"/><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image" Target="media/image1.emf"/><Relationship Id="rId39" Type="http://schemas.openxmlformats.org/officeDocument/2006/relationships/oleObject" Target="embeddings/oleObject22.bin"/><Relationship Id="rId38" Type="http://schemas.openxmlformats.org/officeDocument/2006/relationships/image" Target="media/image14.wmf"/><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image" Target="media/image13.emf"/><Relationship Id="rId33" Type="http://schemas.openxmlformats.org/officeDocument/2006/relationships/oleObject" Target="embeddings/oleObject18.bin"/><Relationship Id="rId32" Type="http://schemas.openxmlformats.org/officeDocument/2006/relationships/oleObject" Target="embeddings/oleObject17.bin"/><Relationship Id="rId31" Type="http://schemas.openxmlformats.org/officeDocument/2006/relationships/oleObject" Target="embeddings/oleObject16.bin"/><Relationship Id="rId30" Type="http://schemas.openxmlformats.org/officeDocument/2006/relationships/image" Target="media/image12.emf"/><Relationship Id="rId3" Type="http://schemas.openxmlformats.org/officeDocument/2006/relationships/theme" Target="theme/theme1.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image" Target="media/image11.emf"/><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10.e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e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8.emf"/><Relationship Id="rId13" Type="http://schemas.openxmlformats.org/officeDocument/2006/relationships/image" Target="media/image7.wmf"/><Relationship Id="rId12" Type="http://schemas.openxmlformats.org/officeDocument/2006/relationships/oleObject" Target="embeddings/oleObject3.bin"/><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4E200-274C-466C-BBD1-7A2271544854}">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26</Pages>
  <Words>5502</Words>
  <Characters>31364</Characters>
  <Lines>261</Lines>
  <Paragraphs>73</Paragraphs>
  <ScaleCrop>false</ScaleCrop>
  <LinksUpToDate>false</LinksUpToDate>
  <CharactersWithSpaces>36793</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2017-11-17T11:13:00Z</dcterms:created>
  <dc:creator>ZTE</dc:creator>
  <cp:lastModifiedBy>Hao Wu</cp:lastModifiedBy>
  <dcterms:modified xsi:type="dcterms:W3CDTF">2017-11-17T17:27:09Z</dcterms:modified>
  <dc:title>3GPP TSG-RAN WG1 #70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